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_GB2312" w:hAnsi="仿宋_GB2312" w:eastAsia="仿宋_GB2312" w:cs="仿宋_GB2312"/>
          <w:color w:val="0D0D0D" w:themeColor="text1" w:themeTint="F2"/>
          <w:sz w:val="48"/>
          <w:szCs w:val="48"/>
          <w14:textFill>
            <w14:solidFill>
              <w14:schemeClr w14:val="tx1">
                <w14:lumMod w14:val="95000"/>
                <w14:lumOff w14:val="5000"/>
              </w14:schemeClr>
            </w14:solidFill>
          </w14:textFill>
        </w:rPr>
      </w:pPr>
      <w:bookmarkStart w:id="0" w:name="_Hlk81493718"/>
      <w:bookmarkEnd w:id="0"/>
      <w:bookmarkStart w:id="1" w:name="_Hlk57883707"/>
    </w:p>
    <w:p>
      <w:pPr>
        <w:rPr>
          <w:rFonts w:hint="eastAsia" w:ascii="仿宋_GB2312" w:hAnsi="仿宋_GB2312" w:eastAsia="仿宋_GB2312" w:cs="仿宋_GB2312"/>
          <w:color w:val="0D0D0D" w:themeColor="text1" w:themeTint="F2"/>
          <w:sz w:val="48"/>
          <w:szCs w:val="48"/>
          <w14:textFill>
            <w14:solidFill>
              <w14:schemeClr w14:val="tx1">
                <w14:lumMod w14:val="95000"/>
                <w14:lumOff w14:val="5000"/>
              </w14:schemeClr>
            </w14:solidFill>
          </w14:textFill>
        </w:rPr>
      </w:pPr>
    </w:p>
    <w:bookmarkEnd w:id="1"/>
    <w:p>
      <w:pPr>
        <w:adjustRightInd w:val="0"/>
        <w:snapToGrid w:val="0"/>
        <w:jc w:val="both"/>
        <w:outlineLvl w:val="0"/>
        <w:rPr>
          <w:rFonts w:hint="eastAsia" w:ascii="方正小标宋_GBK" w:eastAsia="方正小标宋_GBK"/>
          <w:bCs/>
          <w:color w:val="0D0D0D" w:themeColor="text1" w:themeTint="F2"/>
          <w:sz w:val="48"/>
          <w:szCs w:val="48"/>
          <w14:textFill>
            <w14:solidFill>
              <w14:schemeClr w14:val="tx1">
                <w14:lumMod w14:val="95000"/>
                <w14:lumOff w14:val="5000"/>
              </w14:schemeClr>
            </w14:solidFill>
          </w14:textFill>
        </w:rPr>
      </w:pPr>
    </w:p>
    <w:p>
      <w:pPr>
        <w:adjustRightInd w:val="0"/>
        <w:snapToGrid w:val="0"/>
        <w:jc w:val="both"/>
        <w:outlineLvl w:val="0"/>
        <w:rPr>
          <w:rFonts w:hint="eastAsia" w:ascii="方正小标宋_GBK" w:eastAsia="方正小标宋_GBK"/>
          <w:bCs/>
          <w:color w:val="0D0D0D" w:themeColor="text1" w:themeTint="F2"/>
          <w:sz w:val="48"/>
          <w:szCs w:val="48"/>
          <w14:textFill>
            <w14:solidFill>
              <w14:schemeClr w14:val="tx1">
                <w14:lumMod w14:val="95000"/>
                <w14:lumOff w14:val="5000"/>
              </w14:schemeClr>
            </w14:solidFill>
          </w14:textFill>
        </w:rPr>
      </w:pPr>
    </w:p>
    <w:p>
      <w:pPr>
        <w:adjustRightInd w:val="0"/>
        <w:snapToGrid w:val="0"/>
        <w:jc w:val="center"/>
        <w:outlineLvl w:val="0"/>
        <w:rPr>
          <w:rFonts w:ascii="方正小标宋_GBK" w:eastAsia="方正小标宋_GBK"/>
          <w:bCs/>
          <w:color w:val="0D0D0D" w:themeColor="text1" w:themeTint="F2"/>
          <w:sz w:val="72"/>
          <w:szCs w:val="72"/>
          <w14:textFill>
            <w14:solidFill>
              <w14:schemeClr w14:val="tx1">
                <w14:lumMod w14:val="95000"/>
                <w14:lumOff w14:val="5000"/>
              </w14:schemeClr>
            </w14:solidFill>
          </w14:textFill>
        </w:rPr>
      </w:pPr>
      <w:bookmarkStart w:id="2" w:name="_Toc16110"/>
      <w:r>
        <w:rPr>
          <w:rFonts w:hint="eastAsia" w:ascii="方正小标宋_GBK" w:eastAsia="方正小标宋_GBK"/>
          <w:bCs/>
          <w:color w:val="0D0D0D" w:themeColor="text1" w:themeTint="F2"/>
          <w:sz w:val="72"/>
          <w:szCs w:val="72"/>
          <w14:textFill>
            <w14:solidFill>
              <w14:schemeClr w14:val="tx1">
                <w14:lumMod w14:val="95000"/>
                <w14:lumOff w14:val="5000"/>
              </w14:schemeClr>
            </w14:solidFill>
          </w14:textFill>
        </w:rPr>
        <w:t>建设项目环境影响报告表</w:t>
      </w:r>
      <w:bookmarkEnd w:id="2"/>
    </w:p>
    <w:p>
      <w:pPr>
        <w:adjustRightInd w:val="0"/>
        <w:snapToGrid w:val="0"/>
        <w:spacing w:before="192" w:beforeLines="80"/>
        <w:jc w:val="center"/>
        <w:rPr>
          <w:rFonts w:ascii="楷体_GB2312" w:eastAsia="楷体_GB2312"/>
          <w:bCs/>
          <w:color w:val="0D0D0D" w:themeColor="text1" w:themeTint="F2"/>
          <w:sz w:val="48"/>
          <w:szCs w:val="48"/>
          <w14:textFill>
            <w14:solidFill>
              <w14:schemeClr w14:val="tx1">
                <w14:lumMod w14:val="95000"/>
                <w14:lumOff w14:val="5000"/>
              </w14:schemeClr>
            </w14:solidFill>
          </w14:textFill>
        </w:rPr>
      </w:pPr>
      <w:r>
        <w:rPr>
          <w:rFonts w:hint="eastAsia" w:ascii="楷体_GB2312" w:eastAsia="楷体_GB2312"/>
          <w:bCs/>
          <w:color w:val="0D0D0D" w:themeColor="text1" w:themeTint="F2"/>
          <w:sz w:val="48"/>
          <w:szCs w:val="48"/>
          <w14:textFill>
            <w14:solidFill>
              <w14:schemeClr w14:val="tx1">
                <w14:lumMod w14:val="95000"/>
                <w14:lumOff w14:val="5000"/>
              </w14:schemeClr>
            </w14:solidFill>
          </w14:textFill>
        </w:rPr>
        <w:t>（生态影响类）</w:t>
      </w:r>
    </w:p>
    <w:p>
      <w:pPr>
        <w:ind w:hanging="142"/>
        <w:jc w:val="center"/>
        <w:rPr>
          <w:rFonts w:ascii="楷体_GB2312" w:eastAsia="楷体_GB2312"/>
          <w:bCs/>
          <w:color w:val="0D0D0D" w:themeColor="text1" w:themeTint="F2"/>
          <w:sz w:val="32"/>
          <w:szCs w:val="32"/>
          <w14:textFill>
            <w14:solidFill>
              <w14:schemeClr w14:val="tx1">
                <w14:lumMod w14:val="95000"/>
                <w14:lumOff w14:val="5000"/>
              </w14:schemeClr>
            </w14:solidFill>
          </w14:textFill>
        </w:rPr>
      </w:pPr>
      <w:bookmarkStart w:id="3" w:name="_Hlk57883728"/>
      <w:r>
        <w:rPr>
          <w:rFonts w:hint="eastAsia" w:ascii="楷体_GB2312" w:eastAsia="楷体_GB2312"/>
          <w:bCs/>
          <w:color w:val="0D0D0D" w:themeColor="text1" w:themeTint="F2"/>
          <w:sz w:val="32"/>
          <w:szCs w:val="32"/>
          <w14:textFill>
            <w14:solidFill>
              <w14:schemeClr w14:val="tx1">
                <w14:lumMod w14:val="95000"/>
                <w14:lumOff w14:val="5000"/>
              </w14:schemeClr>
            </w14:solidFill>
          </w14:textFill>
        </w:rPr>
        <w:t>（</w:t>
      </w:r>
      <w:r>
        <w:rPr>
          <w:rFonts w:hint="eastAsia" w:ascii="楷体_GB2312" w:eastAsia="楷体_GB2312"/>
          <w:bCs/>
          <w:color w:val="0D0D0D" w:themeColor="text1" w:themeTint="F2"/>
          <w:sz w:val="32"/>
          <w:szCs w:val="32"/>
          <w:lang w:val="en-US" w:eastAsia="zh-CN"/>
          <w14:textFill>
            <w14:solidFill>
              <w14:schemeClr w14:val="tx1">
                <w14:lumMod w14:val="95000"/>
                <w14:lumOff w14:val="5000"/>
              </w14:schemeClr>
            </w14:solidFill>
          </w14:textFill>
        </w:rPr>
        <w:t>报批稿</w:t>
      </w:r>
      <w:r>
        <w:rPr>
          <w:rFonts w:hint="eastAsia" w:ascii="楷体_GB2312" w:eastAsia="楷体_GB2312"/>
          <w:bCs/>
          <w:color w:val="0D0D0D" w:themeColor="text1" w:themeTint="F2"/>
          <w:sz w:val="32"/>
          <w:szCs w:val="32"/>
          <w14:textFill>
            <w14:solidFill>
              <w14:schemeClr w14:val="tx1">
                <w14:lumMod w14:val="95000"/>
                <w14:lumOff w14:val="5000"/>
              </w14:schemeClr>
            </w14:solidFill>
          </w14:textFill>
        </w:rPr>
        <w:t>）</w:t>
      </w:r>
    </w:p>
    <w:p>
      <w:pPr>
        <w:ind w:firstLine="1040"/>
        <w:rPr>
          <w:rFonts w:eastAsia="仿宋"/>
          <w:color w:val="0D0D0D" w:themeColor="text1" w:themeTint="F2"/>
          <w:sz w:val="44"/>
          <w:szCs w:val="44"/>
          <w14:textFill>
            <w14:solidFill>
              <w14:schemeClr w14:val="tx1">
                <w14:lumMod w14:val="95000"/>
                <w14:lumOff w14:val="5000"/>
              </w14:schemeClr>
            </w14:solidFill>
          </w14:textFill>
        </w:rPr>
      </w:pPr>
    </w:p>
    <w:p>
      <w:pPr>
        <w:ind w:firstLine="1040"/>
        <w:rPr>
          <w:rFonts w:eastAsia="仿宋"/>
          <w:color w:val="0D0D0D" w:themeColor="text1" w:themeTint="F2"/>
          <w:sz w:val="44"/>
          <w:szCs w:val="44"/>
          <w14:textFill>
            <w14:solidFill>
              <w14:schemeClr w14:val="tx1">
                <w14:lumMod w14:val="95000"/>
                <w14:lumOff w14:val="5000"/>
              </w14:schemeClr>
            </w14:solidFill>
          </w14:textFill>
        </w:rPr>
      </w:pPr>
    </w:p>
    <w:p>
      <w:pPr>
        <w:ind w:firstLine="1040"/>
        <w:rPr>
          <w:rFonts w:eastAsia="仿宋"/>
          <w:color w:val="0D0D0D" w:themeColor="text1" w:themeTint="F2"/>
          <w:sz w:val="44"/>
          <w:szCs w:val="44"/>
          <w14:textFill>
            <w14:solidFill>
              <w14:schemeClr w14:val="tx1">
                <w14:lumMod w14:val="95000"/>
                <w14:lumOff w14:val="5000"/>
              </w14:schemeClr>
            </w14:solidFill>
          </w14:textFill>
        </w:rPr>
      </w:pPr>
    </w:p>
    <w:bookmarkEnd w:id="3"/>
    <w:p>
      <w:pPr>
        <w:keepNext w:val="0"/>
        <w:keepLines w:val="0"/>
        <w:pageBreakBefore w:val="0"/>
        <w:widowControl w:val="0"/>
        <w:kinsoku/>
        <w:wordWrap/>
        <w:overflowPunct/>
        <w:topLinePunct w:val="0"/>
        <w:autoSpaceDE/>
        <w:autoSpaceDN/>
        <w:bidi w:val="0"/>
        <w:adjustRightInd w:val="0"/>
        <w:snapToGrid w:val="0"/>
        <w:spacing w:line="360" w:lineRule="auto"/>
        <w:ind w:left="0" w:hanging="2984" w:hangingChars="4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pacing w:val="213"/>
          <w:kern w:val="0"/>
          <w:sz w:val="32"/>
          <w:szCs w:val="32"/>
          <w:fitText w:val="2560" w:id="940469522"/>
        </w:rPr>
        <w:t>项目名</w:t>
      </w:r>
      <w:r>
        <w:rPr>
          <w:rFonts w:hint="eastAsia" w:ascii="仿宋_GB2312" w:hAnsi="仿宋_GB2312" w:eastAsia="仿宋_GB2312" w:cs="仿宋_GB2312"/>
          <w:spacing w:val="1"/>
          <w:kern w:val="0"/>
          <w:sz w:val="32"/>
          <w:szCs w:val="32"/>
          <w:fitText w:val="2560" w:id="940469522"/>
        </w:rPr>
        <w:t>称</w:t>
      </w:r>
      <w:r>
        <w:rPr>
          <w:rFonts w:hint="eastAsia" w:ascii="仿宋_GB2312" w:hAnsi="仿宋_GB2312" w:eastAsia="仿宋_GB2312" w:cs="仿宋_GB2312"/>
          <w:sz w:val="32"/>
          <w:szCs w:val="32"/>
        </w:rPr>
        <w:t>：</w:t>
      </w:r>
      <w:bookmarkStart w:id="4" w:name="OLE_LINK69"/>
      <w:r>
        <w:rPr>
          <w:rFonts w:hint="eastAsia" w:ascii="仿宋_GB2312" w:hAnsi="仿宋" w:eastAsia="仿宋_GB2312" w:cs="仿宋_GB2312"/>
          <w:color w:val="auto"/>
          <w:spacing w:val="8"/>
          <w:sz w:val="32"/>
          <w:szCs w:val="32"/>
          <w:u w:val="single"/>
        </w:rPr>
        <w:t>中国石油天然气股份有限公司大港油田分公司</w:t>
      </w:r>
      <w:r>
        <w:rPr>
          <w:rFonts w:hint="eastAsia" w:ascii="仿宋_GB2312" w:hAnsi="仿宋" w:eastAsia="仿宋_GB2312" w:cs="仿宋_GB2312"/>
          <w:color w:val="auto"/>
          <w:spacing w:val="8"/>
          <w:sz w:val="32"/>
          <w:szCs w:val="32"/>
          <w:u w:val="single"/>
          <w:lang w:val="en-US" w:eastAsia="zh-CN"/>
        </w:rPr>
        <w:t>莫24H评价井项目</w:t>
      </w:r>
      <w:bookmarkEnd w:id="4"/>
      <w:r>
        <w:rPr>
          <w:rFonts w:hint="eastAsia" w:ascii="仿宋_GB2312" w:hAnsi="仿宋" w:eastAsia="仿宋_GB2312" w:cs="仿宋_GB2312"/>
          <w:color w:val="auto"/>
          <w:spacing w:val="8"/>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360" w:lineRule="auto"/>
        <w:ind w:left="0" w:hanging="2880" w:hangingChars="900"/>
        <w:jc w:val="both"/>
        <w:textAlignment w:val="auto"/>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rPr>
        <w:t>建设单位（盖章）：</w:t>
      </w:r>
      <w:r>
        <w:rPr>
          <w:rFonts w:hint="eastAsia" w:ascii="仿宋_GB2312" w:hAnsi="仿宋_GB2312" w:eastAsia="仿宋_GB2312" w:cs="仿宋_GB2312"/>
          <w:sz w:val="32"/>
          <w:szCs w:val="32"/>
          <w:u w:val="single"/>
        </w:rPr>
        <w:t>中国石油天然气股份有限公司</w:t>
      </w:r>
      <w:bookmarkStart w:id="5" w:name="OLE_LINK33"/>
      <w:r>
        <w:rPr>
          <w:rFonts w:hint="eastAsia" w:ascii="仿宋_GB2312" w:hAnsi="仿宋_GB2312" w:eastAsia="仿宋_GB2312" w:cs="仿宋_GB2312"/>
          <w:sz w:val="32"/>
          <w:szCs w:val="32"/>
          <w:u w:val="single"/>
        </w:rPr>
        <w:t>大港油田分公司</w:t>
      </w:r>
      <w:bookmarkEnd w:id="5"/>
      <w:r>
        <w:rPr>
          <w:rFonts w:hint="eastAsia" w:ascii="仿宋_GB2312" w:hAnsi="仿宋_GB2312" w:eastAsia="仿宋_GB2312" w:cs="仿宋_GB2312"/>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ascii="仿宋_GB2312" w:eastAsia="仿宋_GB2312"/>
          <w:color w:val="0D0D0D" w:themeColor="text1" w:themeTint="F2"/>
          <w:sz w:val="32"/>
          <w:szCs w:val="32"/>
          <w:u w:val="single"/>
          <w14:textFill>
            <w14:solidFill>
              <w14:schemeClr w14:val="tx1">
                <w14:lumMod w14:val="95000"/>
                <w14:lumOff w14:val="5000"/>
              </w14:schemeClr>
            </w14:solidFill>
          </w14:textFill>
        </w:rPr>
      </w:pPr>
      <w:r>
        <w:rPr>
          <w:rFonts w:hint="eastAsia" w:ascii="仿宋_GB2312" w:eastAsia="仿宋_GB2312"/>
          <w:color w:val="0D0D0D" w:themeColor="text1" w:themeTint="F2"/>
          <w:spacing w:val="213"/>
          <w:kern w:val="0"/>
          <w:sz w:val="32"/>
          <w:szCs w:val="32"/>
          <w:fitText w:val="2560" w:id="254284981"/>
          <w14:textFill>
            <w14:solidFill>
              <w14:schemeClr w14:val="tx1">
                <w14:lumMod w14:val="95000"/>
                <w14:lumOff w14:val="5000"/>
              </w14:schemeClr>
            </w14:solidFill>
          </w14:textFill>
        </w:rPr>
        <w:t>编制日</w:t>
      </w:r>
      <w:r>
        <w:rPr>
          <w:rFonts w:hint="eastAsia" w:ascii="仿宋_GB2312" w:eastAsia="仿宋_GB2312"/>
          <w:color w:val="0D0D0D" w:themeColor="text1" w:themeTint="F2"/>
          <w:spacing w:val="1"/>
          <w:kern w:val="0"/>
          <w:sz w:val="32"/>
          <w:szCs w:val="32"/>
          <w:fitText w:val="2560" w:id="254284981"/>
          <w14:textFill>
            <w14:solidFill>
              <w14:schemeClr w14:val="tx1">
                <w14:lumMod w14:val="95000"/>
                <w14:lumOff w14:val="5000"/>
              </w14:schemeClr>
            </w14:solidFill>
          </w14:textFill>
        </w:rPr>
        <w:t>期</w:t>
      </w:r>
      <w:r>
        <w:rPr>
          <w:rFonts w:hint="eastAsia" w:ascii="仿宋_GB2312" w:eastAsia="仿宋_GB2312"/>
          <w:color w:val="0D0D0D" w:themeColor="text1" w:themeTint="F2"/>
          <w:kern w:val="0"/>
          <w:sz w:val="32"/>
          <w:szCs w:val="32"/>
          <w14:textFill>
            <w14:solidFill>
              <w14:schemeClr w14:val="tx1">
                <w14:lumMod w14:val="95000"/>
                <w14:lumOff w14:val="5000"/>
              </w14:schemeClr>
            </w14:solidFill>
          </w14:textFill>
        </w:rPr>
        <w:t>：</w:t>
      </w:r>
      <w:r>
        <w:rPr>
          <w:rFonts w:hint="eastAsia" w:ascii="仿宋_GB2312" w:eastAsia="仿宋_GB2312"/>
          <w:color w:val="0D0D0D" w:themeColor="text1" w:themeTint="F2"/>
          <w:sz w:val="32"/>
          <w:szCs w:val="32"/>
          <w:u w:val="single"/>
          <w:lang w:val="en-US" w:eastAsia="zh-CN"/>
          <w14:textFill>
            <w14:solidFill>
              <w14:schemeClr w14:val="tx1">
                <w14:lumMod w14:val="95000"/>
                <w14:lumOff w14:val="5000"/>
              </w14:schemeClr>
            </w14:solidFill>
          </w14:textFill>
        </w:rPr>
        <w:t xml:space="preserve">             </w:t>
      </w:r>
      <w:r>
        <w:rPr>
          <w:rFonts w:ascii="仿宋_GB2312" w:eastAsia="仿宋_GB2312"/>
          <w:color w:val="0D0D0D" w:themeColor="text1" w:themeTint="F2"/>
          <w:sz w:val="32"/>
          <w:szCs w:val="32"/>
          <w:u w:val="single"/>
          <w14:textFill>
            <w14:solidFill>
              <w14:schemeClr w14:val="tx1">
                <w14:lumMod w14:val="95000"/>
                <w14:lumOff w14:val="5000"/>
              </w14:schemeClr>
            </w14:solidFill>
          </w14:textFill>
        </w:rPr>
        <w:t>202</w:t>
      </w:r>
      <w:r>
        <w:rPr>
          <w:rFonts w:hint="eastAsia" w:ascii="仿宋_GB2312" w:eastAsia="仿宋_GB2312"/>
          <w:color w:val="0D0D0D" w:themeColor="text1" w:themeTint="F2"/>
          <w:sz w:val="32"/>
          <w:szCs w:val="32"/>
          <w:u w:val="single"/>
          <w14:textFill>
            <w14:solidFill>
              <w14:schemeClr w14:val="tx1">
                <w14:lumMod w14:val="95000"/>
                <w14:lumOff w14:val="5000"/>
              </w14:schemeClr>
            </w14:solidFill>
          </w14:textFill>
        </w:rPr>
        <w:t>5年</w:t>
      </w:r>
      <w:r>
        <w:rPr>
          <w:rFonts w:hint="eastAsia" w:ascii="仿宋_GB2312" w:eastAsia="仿宋_GB2312"/>
          <w:color w:val="0D0D0D" w:themeColor="text1" w:themeTint="F2"/>
          <w:sz w:val="32"/>
          <w:szCs w:val="32"/>
          <w:u w:val="single"/>
          <w:lang w:val="en-US" w:eastAsia="zh-CN"/>
          <w14:textFill>
            <w14:solidFill>
              <w14:schemeClr w14:val="tx1">
                <w14:lumMod w14:val="95000"/>
                <w14:lumOff w14:val="5000"/>
              </w14:schemeClr>
            </w14:solidFill>
          </w14:textFill>
        </w:rPr>
        <w:t>8</w:t>
      </w:r>
      <w:r>
        <w:rPr>
          <w:rFonts w:hint="eastAsia" w:ascii="仿宋_GB2312" w:eastAsia="仿宋_GB2312"/>
          <w:color w:val="0D0D0D" w:themeColor="text1" w:themeTint="F2"/>
          <w:sz w:val="32"/>
          <w:szCs w:val="32"/>
          <w:u w:val="single"/>
          <w14:textFill>
            <w14:solidFill>
              <w14:schemeClr w14:val="tx1">
                <w14:lumMod w14:val="95000"/>
                <w14:lumOff w14:val="5000"/>
              </w14:schemeClr>
            </w14:solidFill>
          </w14:textFill>
        </w:rPr>
        <w:t xml:space="preserve">月 </w:t>
      </w:r>
      <w:r>
        <w:rPr>
          <w:rFonts w:ascii="仿宋_GB2312" w:eastAsia="仿宋_GB2312"/>
          <w:color w:val="0D0D0D" w:themeColor="text1" w:themeTint="F2"/>
          <w:sz w:val="32"/>
          <w:szCs w:val="32"/>
          <w:u w:val="single"/>
          <w14:textFill>
            <w14:solidFill>
              <w14:schemeClr w14:val="tx1">
                <w14:lumMod w14:val="95000"/>
                <w14:lumOff w14:val="5000"/>
              </w14:schemeClr>
            </w14:solidFill>
          </w14:textFill>
        </w:rPr>
        <w:t xml:space="preserve">     </w:t>
      </w:r>
      <w:r>
        <w:rPr>
          <w:rFonts w:hint="eastAsia" w:ascii="仿宋_GB2312" w:eastAsia="仿宋_GB2312"/>
          <w:color w:val="0D0D0D" w:themeColor="text1" w:themeTint="F2"/>
          <w:sz w:val="32"/>
          <w:szCs w:val="32"/>
          <w:u w:val="single"/>
          <w:lang w:val="en-US" w:eastAsia="zh-CN"/>
          <w14:textFill>
            <w14:solidFill>
              <w14:schemeClr w14:val="tx1">
                <w14:lumMod w14:val="95000"/>
                <w14:lumOff w14:val="5000"/>
              </w14:schemeClr>
            </w14:solidFill>
          </w14:textFill>
        </w:rPr>
        <w:t xml:space="preserve"> </w:t>
      </w:r>
      <w:r>
        <w:rPr>
          <w:rFonts w:ascii="仿宋_GB2312" w:eastAsia="仿宋_GB2312"/>
          <w:color w:val="0D0D0D" w:themeColor="text1" w:themeTint="F2"/>
          <w:sz w:val="32"/>
          <w:szCs w:val="32"/>
          <w:u w:val="single"/>
          <w14:textFill>
            <w14:solidFill>
              <w14:schemeClr w14:val="tx1">
                <w14:lumMod w14:val="95000"/>
                <w14:lumOff w14:val="5000"/>
              </w14:schemeClr>
            </w14:solidFill>
          </w14:textFill>
        </w:rPr>
        <w:t xml:space="preserve">       </w:t>
      </w:r>
    </w:p>
    <w:p>
      <w:pPr>
        <w:adjustRightInd w:val="0"/>
        <w:snapToGrid w:val="0"/>
        <w:spacing w:line="288" w:lineRule="auto"/>
        <w:ind w:firstLine="1040"/>
        <w:rPr>
          <w:rFonts w:ascii="仿宋_GB2312" w:eastAsia="仿宋_GB2312"/>
          <w:color w:val="0D0D0D" w:themeColor="text1" w:themeTint="F2"/>
          <w:sz w:val="36"/>
          <w:szCs w:val="36"/>
          <w:u w:val="single"/>
          <w14:textFill>
            <w14:solidFill>
              <w14:schemeClr w14:val="tx1">
                <w14:lumMod w14:val="95000"/>
                <w14:lumOff w14:val="5000"/>
              </w14:schemeClr>
            </w14:solidFill>
          </w14:textFill>
        </w:rPr>
      </w:pPr>
    </w:p>
    <w:p>
      <w:pPr>
        <w:adjustRightInd w:val="0"/>
        <w:snapToGrid w:val="0"/>
        <w:spacing w:line="288" w:lineRule="auto"/>
        <w:ind w:firstLine="1040"/>
        <w:rPr>
          <w:rFonts w:ascii="仿宋_GB2312" w:eastAsia="仿宋_GB2312"/>
          <w:color w:val="0D0D0D" w:themeColor="text1" w:themeTint="F2"/>
          <w:sz w:val="36"/>
          <w:szCs w:val="36"/>
          <w14:textFill>
            <w14:solidFill>
              <w14:schemeClr w14:val="tx1">
                <w14:lumMod w14:val="95000"/>
                <w14:lumOff w14:val="5000"/>
              </w14:schemeClr>
            </w14:solidFill>
          </w14:textFill>
        </w:rPr>
      </w:pPr>
    </w:p>
    <w:p>
      <w:pPr>
        <w:adjustRightInd w:val="0"/>
        <w:snapToGrid w:val="0"/>
        <w:spacing w:line="288" w:lineRule="auto"/>
        <w:ind w:firstLine="1040"/>
        <w:rPr>
          <w:rFonts w:ascii="仿宋_GB2312" w:eastAsia="仿宋_GB2312"/>
          <w:color w:val="0D0D0D" w:themeColor="text1" w:themeTint="F2"/>
          <w:sz w:val="36"/>
          <w:szCs w:val="36"/>
          <w14:textFill>
            <w14:solidFill>
              <w14:schemeClr w14:val="tx1">
                <w14:lumMod w14:val="95000"/>
                <w14:lumOff w14:val="5000"/>
              </w14:schemeClr>
            </w14:solidFill>
          </w14:textFill>
        </w:rPr>
      </w:pPr>
    </w:p>
    <w:p>
      <w:pPr>
        <w:adjustRightInd w:val="0"/>
        <w:spacing w:line="288" w:lineRule="auto"/>
        <w:jc w:val="center"/>
        <w:rPr>
          <w:color w:val="0D0D0D" w:themeColor="text1" w:themeTint="F2"/>
          <w14:textFill>
            <w14:solidFill>
              <w14:schemeClr w14:val="tx1">
                <w14:lumMod w14:val="95000"/>
                <w14:lumOff w14:val="5000"/>
              </w14:schemeClr>
            </w14:solidFill>
          </w14:textFill>
        </w:rPr>
      </w:pPr>
      <w:r>
        <w:rPr>
          <w:rFonts w:hint="eastAsia" w:ascii="楷体_GB2312" w:eastAsia="楷体_GB2312"/>
          <w:color w:val="0D0D0D" w:themeColor="text1" w:themeTint="F2"/>
          <w:sz w:val="36"/>
          <w:szCs w:val="36"/>
          <w14:textFill>
            <w14:solidFill>
              <w14:schemeClr w14:val="tx1">
                <w14:lumMod w14:val="95000"/>
                <w14:lumOff w14:val="5000"/>
              </w14:schemeClr>
            </w14:solidFill>
          </w14:textFill>
        </w:rPr>
        <w:t>中华人民共和国生态环境部制</w:t>
      </w:r>
    </w:p>
    <w:p>
      <w:pPr>
        <w:bidi w:val="0"/>
        <w:rPr>
          <w:rFonts w:hint="default"/>
        </w:rPr>
      </w:pPr>
    </w:p>
    <w:p>
      <w:pPr>
        <w:widowControl/>
        <w:spacing w:line="343" w:lineRule="auto"/>
        <w:rPr>
          <w:rFonts w:hint="default" w:ascii="Times New Roman" w:hAnsi="Times New Roman" w:cs="Times New Roman"/>
          <w:color w:val="000000" w:themeColor="text1"/>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ind w:left="0" w:right="0" w:firstLine="0"/>
        <w:jc w:val="both"/>
        <w:textAlignment w:val="auto"/>
        <w:rPr>
          <w:rFonts w:hint="default" w:ascii="Times New Roman" w:hAnsi="Times New Roman" w:cs="Times New Roman"/>
          <w:color w:val="000000" w:themeColor="text1"/>
          <w:lang w:val="en-US" w:eastAsia="zh-CN"/>
          <w14:textFill>
            <w14:solidFill>
              <w14:schemeClr w14:val="tx1"/>
            </w14:solidFill>
          </w14:textFill>
        </w:rPr>
        <w:sectPr>
          <w:headerReference r:id="rId3" w:type="default"/>
          <w:footerReference r:id="rId4" w:type="default"/>
          <w:pgSz w:w="11906" w:h="16838"/>
          <w:pgMar w:top="1440" w:right="1587" w:bottom="1440" w:left="1587" w:header="851" w:footer="992" w:gutter="0"/>
          <w:pgBorders>
            <w:top w:val="none" w:sz="0" w:space="0"/>
            <w:left w:val="none" w:sz="0" w:space="0"/>
            <w:bottom w:val="none" w:sz="0" w:space="0"/>
            <w:right w:val="none" w:sz="0" w:space="0"/>
          </w:pgBorders>
          <w:cols w:space="425" w:num="1"/>
          <w:docGrid w:type="lines" w:linePitch="312" w:charSpace="0"/>
        </w:sectPr>
      </w:pPr>
    </w:p>
    <w:p>
      <w:pPr>
        <w:pStyle w:val="20"/>
        <w:rPr>
          <w:rFonts w:hint="default" w:ascii="Times New Roman" w:hAnsi="Times New Roman" w:cs="Times New Roman"/>
          <w:color w:val="000000" w:themeColor="text1"/>
          <w14:textFill>
            <w14:solidFill>
              <w14:schemeClr w14:val="tx1"/>
            </w14:solidFill>
          </w14:textFill>
        </w:rPr>
      </w:pPr>
    </w:p>
    <w:sdt>
      <w:sdtPr>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id w:val="147463948"/>
        <w15:color w:val="DBDBDB"/>
        <w:docPartObj>
          <w:docPartGallery w:val="Table of Contents"/>
          <w:docPartUnique/>
        </w:docPartObj>
      </w:sdtPr>
      <w:sdtEndPr>
        <w:rPr>
          <w:rFonts w:hint="default" w:ascii="Times New Roman" w:hAnsi="Times New Roman" w:eastAsia="宋体" w:cs="Times New Roman"/>
          <w:color w:val="000000" w:themeColor="text1"/>
          <w:kern w:val="2"/>
          <w:sz w:val="28"/>
          <w:szCs w:val="28"/>
          <w:lang w:val="en-US" w:eastAsia="zh-CN" w:bidi="ar-SA"/>
          <w14:textFill>
            <w14:solidFill>
              <w14:schemeClr w14:val="tx1"/>
            </w14:solidFill>
          </w14:textFill>
        </w:rPr>
      </w:sdtEndPr>
      <w:sdtContent>
        <w:p>
          <w:pPr>
            <w:spacing w:before="0" w:beforeLines="0" w:after="0" w:afterLines="0" w:line="240" w:lineRule="auto"/>
            <w:ind w:left="0" w:leftChars="0" w:right="0" w:rightChars="0" w:firstLine="0" w:firstLineChars="0"/>
            <w:jc w:val="center"/>
            <w:rPr>
              <w:rFonts w:hint="default" w:ascii="Times New Roman" w:hAnsi="Times New Roman" w:eastAsia="宋体" w:cs="Times New Roman"/>
              <w:b/>
              <w:bCs/>
              <w:color w:val="000000" w:themeColor="text1"/>
              <w:sz w:val="32"/>
              <w:szCs w:val="32"/>
              <w14:textFill>
                <w14:solidFill>
                  <w14:schemeClr w14:val="tx1"/>
                </w14:solidFill>
              </w14:textFill>
            </w:rPr>
          </w:pPr>
          <w:r>
            <w:rPr>
              <w:rFonts w:hint="default" w:ascii="Times New Roman" w:hAnsi="Times New Roman" w:eastAsia="宋体" w:cs="Times New Roman"/>
              <w:b/>
              <w:bCs/>
              <w:color w:val="000000" w:themeColor="text1"/>
              <w:sz w:val="32"/>
              <w:szCs w:val="32"/>
              <w14:textFill>
                <w14:solidFill>
                  <w14:schemeClr w14:val="tx1"/>
                </w14:solidFill>
              </w14:textFill>
            </w:rPr>
            <w:t>目</w:t>
          </w:r>
          <w:r>
            <w:rPr>
              <w:rFonts w:hint="default" w:ascii="Times New Roman" w:hAnsi="Times New Roman" w:eastAsia="宋体" w:cs="Times New Roman"/>
              <w:b/>
              <w:bCs/>
              <w:color w:val="000000" w:themeColor="text1"/>
              <w:sz w:val="32"/>
              <w:szCs w:val="32"/>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32"/>
              <w:szCs w:val="32"/>
              <w14:textFill>
                <w14:solidFill>
                  <w14:schemeClr w14:val="tx1"/>
                </w14:solidFill>
              </w14:textFill>
            </w:rPr>
            <w:t>录</w:t>
          </w:r>
        </w:p>
        <w:p>
          <w:pPr>
            <w:pStyle w:val="19"/>
            <w:tabs>
              <w:tab w:val="right" w:leader="dot" w:pos="8306"/>
            </w:tabs>
          </w:pP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TOC \o "1-3" \h \u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p>
        <w:p>
          <w:pPr>
            <w:pStyle w:val="19"/>
            <w:tabs>
              <w:tab w:val="right" w:leader="dot" w:pos="8306"/>
            </w:tabs>
            <w:spacing w:line="480" w:lineRule="auto"/>
            <w:rPr>
              <w:rFonts w:hint="default" w:ascii="Times New Roman" w:hAnsi="Times New Roman" w:eastAsia="黑体" w:cs="Times New Roman"/>
            </w:rPr>
          </w:pPr>
          <w:r>
            <w:rPr>
              <w:rFonts w:hint="default" w:ascii="Times New Roman" w:hAnsi="Times New Roman" w:eastAsia="黑体" w:cs="Times New Roman"/>
              <w:color w:val="000000" w:themeColor="text1"/>
              <w:szCs w:val="28"/>
              <w14:textFill>
                <w14:solidFill>
                  <w14:schemeClr w14:val="tx1"/>
                </w14:solidFill>
              </w14:textFill>
            </w:rPr>
            <w:fldChar w:fldCharType="begin"/>
          </w:r>
          <w:r>
            <w:rPr>
              <w:rFonts w:hint="default" w:ascii="Times New Roman" w:hAnsi="Times New Roman" w:eastAsia="黑体" w:cs="Times New Roman"/>
              <w:szCs w:val="28"/>
            </w:rPr>
            <w:instrText xml:space="preserve"> HYPERLINK \l _Toc10195 </w:instrText>
          </w:r>
          <w:r>
            <w:rPr>
              <w:rFonts w:hint="default" w:ascii="Times New Roman" w:hAnsi="Times New Roman" w:eastAsia="黑体" w:cs="Times New Roman"/>
              <w:szCs w:val="28"/>
            </w:rPr>
            <w:fldChar w:fldCharType="separate"/>
          </w:r>
          <w:r>
            <w:rPr>
              <w:rFonts w:hint="default" w:ascii="Times New Roman" w:hAnsi="Times New Roman" w:eastAsia="黑体" w:cs="Times New Roman"/>
              <w:bCs/>
              <w:szCs w:val="30"/>
            </w:rPr>
            <w:t>一、建设项目基本情况</w:t>
          </w:r>
          <w:r>
            <w:rPr>
              <w:rFonts w:hint="default" w:ascii="Times New Roman" w:hAnsi="Times New Roman" w:eastAsia="黑体" w:cs="Times New Roman"/>
            </w:rPr>
            <w:tab/>
          </w:r>
          <w:r>
            <w:rPr>
              <w:rFonts w:hint="default" w:ascii="Times New Roman" w:hAnsi="Times New Roman" w:eastAsia="黑体" w:cs="Times New Roman"/>
            </w:rPr>
            <w:fldChar w:fldCharType="begin"/>
          </w:r>
          <w:r>
            <w:rPr>
              <w:rFonts w:hint="default" w:ascii="Times New Roman" w:hAnsi="Times New Roman" w:eastAsia="黑体" w:cs="Times New Roman"/>
            </w:rPr>
            <w:instrText xml:space="preserve"> PAGEREF _Toc10195 \h </w:instrText>
          </w:r>
          <w:r>
            <w:rPr>
              <w:rFonts w:hint="default" w:ascii="Times New Roman" w:hAnsi="Times New Roman" w:eastAsia="黑体" w:cs="Times New Roman"/>
            </w:rPr>
            <w:fldChar w:fldCharType="separate"/>
          </w:r>
          <w:r>
            <w:rPr>
              <w:rFonts w:hint="default" w:ascii="Times New Roman" w:hAnsi="Times New Roman" w:eastAsia="黑体" w:cs="Times New Roman"/>
            </w:rPr>
            <w:t>1</w:t>
          </w:r>
          <w:r>
            <w:rPr>
              <w:rFonts w:hint="default" w:ascii="Times New Roman" w:hAnsi="Times New Roman" w:eastAsia="黑体" w:cs="Times New Roman"/>
            </w:rPr>
            <w:fldChar w:fldCharType="end"/>
          </w:r>
          <w:r>
            <w:rPr>
              <w:rFonts w:hint="default" w:ascii="Times New Roman" w:hAnsi="Times New Roman" w:eastAsia="黑体" w:cs="Times New Roman"/>
              <w:color w:val="000000" w:themeColor="text1"/>
              <w:szCs w:val="28"/>
              <w14:textFill>
                <w14:solidFill>
                  <w14:schemeClr w14:val="tx1"/>
                </w14:solidFill>
              </w14:textFill>
            </w:rPr>
            <w:fldChar w:fldCharType="end"/>
          </w:r>
        </w:p>
        <w:p>
          <w:pPr>
            <w:pStyle w:val="19"/>
            <w:tabs>
              <w:tab w:val="right" w:leader="dot" w:pos="8306"/>
            </w:tabs>
            <w:spacing w:line="480" w:lineRule="auto"/>
            <w:rPr>
              <w:rFonts w:hint="default" w:ascii="Times New Roman" w:hAnsi="Times New Roman" w:eastAsia="黑体" w:cs="Times New Roman"/>
            </w:rPr>
          </w:pPr>
          <w:r>
            <w:rPr>
              <w:rFonts w:hint="default" w:ascii="Times New Roman" w:hAnsi="Times New Roman" w:eastAsia="黑体" w:cs="Times New Roman"/>
              <w:color w:val="000000" w:themeColor="text1"/>
              <w:szCs w:val="28"/>
              <w14:textFill>
                <w14:solidFill>
                  <w14:schemeClr w14:val="tx1"/>
                </w14:solidFill>
              </w14:textFill>
            </w:rPr>
            <w:fldChar w:fldCharType="begin"/>
          </w:r>
          <w:r>
            <w:rPr>
              <w:rFonts w:hint="default" w:ascii="Times New Roman" w:hAnsi="Times New Roman" w:eastAsia="黑体" w:cs="Times New Roman"/>
              <w:szCs w:val="28"/>
            </w:rPr>
            <w:instrText xml:space="preserve"> HYPERLINK \l _Toc32369 </w:instrText>
          </w:r>
          <w:r>
            <w:rPr>
              <w:rFonts w:hint="default" w:ascii="Times New Roman" w:hAnsi="Times New Roman" w:eastAsia="黑体" w:cs="Times New Roman"/>
              <w:szCs w:val="28"/>
            </w:rPr>
            <w:fldChar w:fldCharType="separate"/>
          </w:r>
          <w:r>
            <w:rPr>
              <w:rFonts w:hint="default" w:ascii="Times New Roman" w:hAnsi="Times New Roman" w:eastAsia="黑体" w:cs="Times New Roman"/>
              <w:bCs/>
              <w:szCs w:val="30"/>
            </w:rPr>
            <w:t>二、建设内容</w:t>
          </w:r>
          <w:r>
            <w:rPr>
              <w:rFonts w:hint="default" w:ascii="Times New Roman" w:hAnsi="Times New Roman" w:eastAsia="黑体" w:cs="Times New Roman"/>
            </w:rPr>
            <w:tab/>
          </w:r>
          <w:r>
            <w:rPr>
              <w:rFonts w:hint="default" w:ascii="Times New Roman" w:hAnsi="Times New Roman" w:eastAsia="黑体" w:cs="Times New Roman"/>
            </w:rPr>
            <w:fldChar w:fldCharType="begin"/>
          </w:r>
          <w:r>
            <w:rPr>
              <w:rFonts w:hint="default" w:ascii="Times New Roman" w:hAnsi="Times New Roman" w:eastAsia="黑体" w:cs="Times New Roman"/>
            </w:rPr>
            <w:instrText xml:space="preserve"> PAGEREF _Toc32369 \h </w:instrText>
          </w:r>
          <w:r>
            <w:rPr>
              <w:rFonts w:hint="default" w:ascii="Times New Roman" w:hAnsi="Times New Roman" w:eastAsia="黑体" w:cs="Times New Roman"/>
            </w:rPr>
            <w:fldChar w:fldCharType="separate"/>
          </w:r>
          <w:r>
            <w:rPr>
              <w:rFonts w:hint="default" w:ascii="Times New Roman" w:hAnsi="Times New Roman" w:eastAsia="黑体" w:cs="Times New Roman"/>
            </w:rPr>
            <w:t>17</w:t>
          </w:r>
          <w:r>
            <w:rPr>
              <w:rFonts w:hint="default" w:ascii="Times New Roman" w:hAnsi="Times New Roman" w:eastAsia="黑体" w:cs="Times New Roman"/>
            </w:rPr>
            <w:fldChar w:fldCharType="end"/>
          </w:r>
          <w:r>
            <w:rPr>
              <w:rFonts w:hint="default" w:ascii="Times New Roman" w:hAnsi="Times New Roman" w:eastAsia="黑体" w:cs="Times New Roman"/>
              <w:color w:val="000000" w:themeColor="text1"/>
              <w:szCs w:val="28"/>
              <w14:textFill>
                <w14:solidFill>
                  <w14:schemeClr w14:val="tx1"/>
                </w14:solidFill>
              </w14:textFill>
            </w:rPr>
            <w:fldChar w:fldCharType="end"/>
          </w:r>
        </w:p>
        <w:p>
          <w:pPr>
            <w:pStyle w:val="19"/>
            <w:tabs>
              <w:tab w:val="right" w:leader="dot" w:pos="8306"/>
            </w:tabs>
            <w:spacing w:line="480" w:lineRule="auto"/>
            <w:rPr>
              <w:rFonts w:hint="default" w:ascii="Times New Roman" w:hAnsi="Times New Roman" w:eastAsia="黑体" w:cs="Times New Roman"/>
            </w:rPr>
          </w:pPr>
          <w:r>
            <w:rPr>
              <w:rFonts w:hint="default" w:ascii="Times New Roman" w:hAnsi="Times New Roman" w:eastAsia="黑体" w:cs="Times New Roman"/>
              <w:color w:val="000000" w:themeColor="text1"/>
              <w:szCs w:val="28"/>
              <w14:textFill>
                <w14:solidFill>
                  <w14:schemeClr w14:val="tx1"/>
                </w14:solidFill>
              </w14:textFill>
            </w:rPr>
            <w:fldChar w:fldCharType="begin"/>
          </w:r>
          <w:r>
            <w:rPr>
              <w:rFonts w:hint="default" w:ascii="Times New Roman" w:hAnsi="Times New Roman" w:eastAsia="黑体" w:cs="Times New Roman"/>
              <w:szCs w:val="28"/>
            </w:rPr>
            <w:instrText xml:space="preserve"> HYPERLINK \l _Toc7653 </w:instrText>
          </w:r>
          <w:r>
            <w:rPr>
              <w:rFonts w:hint="default" w:ascii="Times New Roman" w:hAnsi="Times New Roman" w:eastAsia="黑体" w:cs="Times New Roman"/>
              <w:szCs w:val="28"/>
            </w:rPr>
            <w:fldChar w:fldCharType="separate"/>
          </w:r>
          <w:r>
            <w:rPr>
              <w:rFonts w:hint="default" w:ascii="Times New Roman" w:hAnsi="Times New Roman" w:eastAsia="黑体" w:cs="Times New Roman"/>
              <w:bCs/>
              <w:szCs w:val="30"/>
            </w:rPr>
            <w:t>三、生态环境现状、保护目标及评价标准</w:t>
          </w:r>
          <w:r>
            <w:rPr>
              <w:rFonts w:hint="default" w:ascii="Times New Roman" w:hAnsi="Times New Roman" w:eastAsia="黑体" w:cs="Times New Roman"/>
            </w:rPr>
            <w:tab/>
          </w:r>
          <w:r>
            <w:rPr>
              <w:rFonts w:hint="default" w:ascii="Times New Roman" w:hAnsi="Times New Roman" w:eastAsia="黑体" w:cs="Times New Roman"/>
            </w:rPr>
            <w:fldChar w:fldCharType="begin"/>
          </w:r>
          <w:r>
            <w:rPr>
              <w:rFonts w:hint="default" w:ascii="Times New Roman" w:hAnsi="Times New Roman" w:eastAsia="黑体" w:cs="Times New Roman"/>
            </w:rPr>
            <w:instrText xml:space="preserve"> PAGEREF _Toc7653 \h </w:instrText>
          </w:r>
          <w:r>
            <w:rPr>
              <w:rFonts w:hint="default" w:ascii="Times New Roman" w:hAnsi="Times New Roman" w:eastAsia="黑体" w:cs="Times New Roman"/>
            </w:rPr>
            <w:fldChar w:fldCharType="separate"/>
          </w:r>
          <w:r>
            <w:rPr>
              <w:rFonts w:hint="default" w:ascii="Times New Roman" w:hAnsi="Times New Roman" w:eastAsia="黑体" w:cs="Times New Roman"/>
            </w:rPr>
            <w:t>29</w:t>
          </w:r>
          <w:r>
            <w:rPr>
              <w:rFonts w:hint="default" w:ascii="Times New Roman" w:hAnsi="Times New Roman" w:eastAsia="黑体" w:cs="Times New Roman"/>
            </w:rPr>
            <w:fldChar w:fldCharType="end"/>
          </w:r>
          <w:r>
            <w:rPr>
              <w:rFonts w:hint="default" w:ascii="Times New Roman" w:hAnsi="Times New Roman" w:eastAsia="黑体" w:cs="Times New Roman"/>
              <w:color w:val="000000" w:themeColor="text1"/>
              <w:szCs w:val="28"/>
              <w14:textFill>
                <w14:solidFill>
                  <w14:schemeClr w14:val="tx1"/>
                </w14:solidFill>
              </w14:textFill>
            </w:rPr>
            <w:fldChar w:fldCharType="end"/>
          </w:r>
        </w:p>
        <w:p>
          <w:pPr>
            <w:pStyle w:val="19"/>
            <w:tabs>
              <w:tab w:val="right" w:leader="dot" w:pos="8306"/>
            </w:tabs>
            <w:spacing w:line="480" w:lineRule="auto"/>
            <w:rPr>
              <w:rFonts w:hint="default" w:ascii="Times New Roman" w:hAnsi="Times New Roman" w:eastAsia="黑体" w:cs="Times New Roman"/>
            </w:rPr>
          </w:pPr>
          <w:r>
            <w:rPr>
              <w:rFonts w:hint="default" w:ascii="Times New Roman" w:hAnsi="Times New Roman" w:eastAsia="黑体" w:cs="Times New Roman"/>
              <w:color w:val="000000" w:themeColor="text1"/>
              <w:szCs w:val="28"/>
              <w14:textFill>
                <w14:solidFill>
                  <w14:schemeClr w14:val="tx1"/>
                </w14:solidFill>
              </w14:textFill>
            </w:rPr>
            <w:fldChar w:fldCharType="begin"/>
          </w:r>
          <w:r>
            <w:rPr>
              <w:rFonts w:hint="default" w:ascii="Times New Roman" w:hAnsi="Times New Roman" w:eastAsia="黑体" w:cs="Times New Roman"/>
              <w:szCs w:val="28"/>
            </w:rPr>
            <w:instrText xml:space="preserve"> HYPERLINK \l _Toc4117 </w:instrText>
          </w:r>
          <w:r>
            <w:rPr>
              <w:rFonts w:hint="default" w:ascii="Times New Roman" w:hAnsi="Times New Roman" w:eastAsia="黑体" w:cs="Times New Roman"/>
              <w:szCs w:val="28"/>
            </w:rPr>
            <w:fldChar w:fldCharType="separate"/>
          </w:r>
          <w:r>
            <w:rPr>
              <w:rFonts w:hint="default" w:ascii="Times New Roman" w:hAnsi="Times New Roman" w:eastAsia="黑体" w:cs="Times New Roman"/>
              <w:bCs/>
              <w:szCs w:val="30"/>
              <w:highlight w:val="none"/>
            </w:rPr>
            <w:t>四、生态环境影响分析</w:t>
          </w:r>
          <w:r>
            <w:rPr>
              <w:rFonts w:hint="default" w:ascii="Times New Roman" w:hAnsi="Times New Roman" w:eastAsia="黑体" w:cs="Times New Roman"/>
            </w:rPr>
            <w:tab/>
          </w:r>
          <w:r>
            <w:rPr>
              <w:rFonts w:hint="default" w:ascii="Times New Roman" w:hAnsi="Times New Roman" w:eastAsia="黑体" w:cs="Times New Roman"/>
            </w:rPr>
            <w:fldChar w:fldCharType="begin"/>
          </w:r>
          <w:r>
            <w:rPr>
              <w:rFonts w:hint="default" w:ascii="Times New Roman" w:hAnsi="Times New Roman" w:eastAsia="黑体" w:cs="Times New Roman"/>
            </w:rPr>
            <w:instrText xml:space="preserve"> PAGEREF _Toc4117 \h </w:instrText>
          </w:r>
          <w:r>
            <w:rPr>
              <w:rFonts w:hint="default" w:ascii="Times New Roman" w:hAnsi="Times New Roman" w:eastAsia="黑体" w:cs="Times New Roman"/>
            </w:rPr>
            <w:fldChar w:fldCharType="separate"/>
          </w:r>
          <w:r>
            <w:rPr>
              <w:rFonts w:hint="default" w:ascii="Times New Roman" w:hAnsi="Times New Roman" w:eastAsia="黑体" w:cs="Times New Roman"/>
            </w:rPr>
            <w:t>35</w:t>
          </w:r>
          <w:r>
            <w:rPr>
              <w:rFonts w:hint="default" w:ascii="Times New Roman" w:hAnsi="Times New Roman" w:eastAsia="黑体" w:cs="Times New Roman"/>
            </w:rPr>
            <w:fldChar w:fldCharType="end"/>
          </w:r>
          <w:r>
            <w:rPr>
              <w:rFonts w:hint="default" w:ascii="Times New Roman" w:hAnsi="Times New Roman" w:eastAsia="黑体" w:cs="Times New Roman"/>
              <w:color w:val="000000" w:themeColor="text1"/>
              <w:szCs w:val="28"/>
              <w14:textFill>
                <w14:solidFill>
                  <w14:schemeClr w14:val="tx1"/>
                </w14:solidFill>
              </w14:textFill>
            </w:rPr>
            <w:fldChar w:fldCharType="end"/>
          </w:r>
        </w:p>
        <w:p>
          <w:pPr>
            <w:pStyle w:val="19"/>
            <w:tabs>
              <w:tab w:val="right" w:leader="dot" w:pos="8306"/>
            </w:tabs>
            <w:spacing w:line="480" w:lineRule="auto"/>
            <w:rPr>
              <w:rFonts w:hint="default" w:ascii="Times New Roman" w:hAnsi="Times New Roman" w:eastAsia="黑体" w:cs="Times New Roman"/>
            </w:rPr>
          </w:pPr>
          <w:r>
            <w:rPr>
              <w:rFonts w:hint="default" w:ascii="Times New Roman" w:hAnsi="Times New Roman" w:eastAsia="黑体" w:cs="Times New Roman"/>
              <w:color w:val="000000" w:themeColor="text1"/>
              <w:szCs w:val="28"/>
              <w14:textFill>
                <w14:solidFill>
                  <w14:schemeClr w14:val="tx1"/>
                </w14:solidFill>
              </w14:textFill>
            </w:rPr>
            <w:fldChar w:fldCharType="begin"/>
          </w:r>
          <w:r>
            <w:rPr>
              <w:rFonts w:hint="default" w:ascii="Times New Roman" w:hAnsi="Times New Roman" w:eastAsia="黑体" w:cs="Times New Roman"/>
              <w:szCs w:val="28"/>
            </w:rPr>
            <w:instrText xml:space="preserve"> HYPERLINK \l _Toc22671 </w:instrText>
          </w:r>
          <w:r>
            <w:rPr>
              <w:rFonts w:hint="default" w:ascii="Times New Roman" w:hAnsi="Times New Roman" w:eastAsia="黑体" w:cs="Times New Roman"/>
              <w:szCs w:val="28"/>
            </w:rPr>
            <w:fldChar w:fldCharType="separate"/>
          </w:r>
          <w:r>
            <w:rPr>
              <w:rFonts w:hint="default" w:ascii="Times New Roman" w:hAnsi="Times New Roman" w:eastAsia="黑体" w:cs="Times New Roman"/>
              <w:bCs/>
              <w:szCs w:val="30"/>
            </w:rPr>
            <w:t>五、主要生态环境保护措施</w:t>
          </w:r>
          <w:r>
            <w:rPr>
              <w:rFonts w:hint="default" w:ascii="Times New Roman" w:hAnsi="Times New Roman" w:eastAsia="黑体" w:cs="Times New Roman"/>
            </w:rPr>
            <w:tab/>
          </w:r>
          <w:r>
            <w:rPr>
              <w:rFonts w:hint="default" w:ascii="Times New Roman" w:hAnsi="Times New Roman" w:eastAsia="黑体" w:cs="Times New Roman"/>
            </w:rPr>
            <w:fldChar w:fldCharType="begin"/>
          </w:r>
          <w:r>
            <w:rPr>
              <w:rFonts w:hint="default" w:ascii="Times New Roman" w:hAnsi="Times New Roman" w:eastAsia="黑体" w:cs="Times New Roman"/>
            </w:rPr>
            <w:instrText xml:space="preserve"> PAGEREF _Toc22671 \h </w:instrText>
          </w:r>
          <w:r>
            <w:rPr>
              <w:rFonts w:hint="default" w:ascii="Times New Roman" w:hAnsi="Times New Roman" w:eastAsia="黑体" w:cs="Times New Roman"/>
            </w:rPr>
            <w:fldChar w:fldCharType="separate"/>
          </w:r>
          <w:r>
            <w:rPr>
              <w:rFonts w:hint="default" w:ascii="Times New Roman" w:hAnsi="Times New Roman" w:eastAsia="黑体" w:cs="Times New Roman"/>
            </w:rPr>
            <w:t>56</w:t>
          </w:r>
          <w:r>
            <w:rPr>
              <w:rFonts w:hint="default" w:ascii="Times New Roman" w:hAnsi="Times New Roman" w:eastAsia="黑体" w:cs="Times New Roman"/>
            </w:rPr>
            <w:fldChar w:fldCharType="end"/>
          </w:r>
          <w:r>
            <w:rPr>
              <w:rFonts w:hint="default" w:ascii="Times New Roman" w:hAnsi="Times New Roman" w:eastAsia="黑体" w:cs="Times New Roman"/>
              <w:color w:val="000000" w:themeColor="text1"/>
              <w:szCs w:val="28"/>
              <w14:textFill>
                <w14:solidFill>
                  <w14:schemeClr w14:val="tx1"/>
                </w14:solidFill>
              </w14:textFill>
            </w:rPr>
            <w:fldChar w:fldCharType="end"/>
          </w:r>
        </w:p>
        <w:p>
          <w:pPr>
            <w:pStyle w:val="19"/>
            <w:tabs>
              <w:tab w:val="right" w:leader="dot" w:pos="8306"/>
            </w:tabs>
            <w:spacing w:line="480" w:lineRule="auto"/>
            <w:rPr>
              <w:rFonts w:hint="default" w:ascii="Times New Roman" w:hAnsi="Times New Roman" w:eastAsia="黑体" w:cs="Times New Roman"/>
            </w:rPr>
          </w:pPr>
          <w:r>
            <w:rPr>
              <w:rFonts w:hint="default" w:ascii="Times New Roman" w:hAnsi="Times New Roman" w:eastAsia="黑体" w:cs="Times New Roman"/>
              <w:color w:val="000000" w:themeColor="text1"/>
              <w:szCs w:val="28"/>
              <w14:textFill>
                <w14:solidFill>
                  <w14:schemeClr w14:val="tx1"/>
                </w14:solidFill>
              </w14:textFill>
            </w:rPr>
            <w:fldChar w:fldCharType="begin"/>
          </w:r>
          <w:r>
            <w:rPr>
              <w:rFonts w:hint="default" w:ascii="Times New Roman" w:hAnsi="Times New Roman" w:eastAsia="黑体" w:cs="Times New Roman"/>
              <w:szCs w:val="28"/>
            </w:rPr>
            <w:instrText xml:space="preserve"> HYPERLINK \l _Toc12274 </w:instrText>
          </w:r>
          <w:r>
            <w:rPr>
              <w:rFonts w:hint="default" w:ascii="Times New Roman" w:hAnsi="Times New Roman" w:eastAsia="黑体" w:cs="Times New Roman"/>
              <w:szCs w:val="28"/>
            </w:rPr>
            <w:fldChar w:fldCharType="separate"/>
          </w:r>
          <w:r>
            <w:rPr>
              <w:rFonts w:hint="default" w:ascii="Times New Roman" w:hAnsi="Times New Roman" w:eastAsia="黑体" w:cs="Times New Roman"/>
              <w:bCs/>
              <w:szCs w:val="30"/>
            </w:rPr>
            <w:t>六、生态环境保护措施监督检查清单</w:t>
          </w:r>
          <w:r>
            <w:rPr>
              <w:rFonts w:hint="default" w:ascii="Times New Roman" w:hAnsi="Times New Roman" w:eastAsia="黑体" w:cs="Times New Roman"/>
            </w:rPr>
            <w:tab/>
          </w:r>
          <w:r>
            <w:rPr>
              <w:rFonts w:hint="default" w:ascii="Times New Roman" w:hAnsi="Times New Roman" w:eastAsia="黑体" w:cs="Times New Roman"/>
            </w:rPr>
            <w:fldChar w:fldCharType="begin"/>
          </w:r>
          <w:r>
            <w:rPr>
              <w:rFonts w:hint="default" w:ascii="Times New Roman" w:hAnsi="Times New Roman" w:eastAsia="黑体" w:cs="Times New Roman"/>
            </w:rPr>
            <w:instrText xml:space="preserve"> PAGEREF _Toc12274 \h </w:instrText>
          </w:r>
          <w:r>
            <w:rPr>
              <w:rFonts w:hint="default" w:ascii="Times New Roman" w:hAnsi="Times New Roman" w:eastAsia="黑体" w:cs="Times New Roman"/>
            </w:rPr>
            <w:fldChar w:fldCharType="separate"/>
          </w:r>
          <w:r>
            <w:rPr>
              <w:rFonts w:hint="default" w:ascii="Times New Roman" w:hAnsi="Times New Roman" w:eastAsia="黑体" w:cs="Times New Roman"/>
            </w:rPr>
            <w:t>79</w:t>
          </w:r>
          <w:r>
            <w:rPr>
              <w:rFonts w:hint="default" w:ascii="Times New Roman" w:hAnsi="Times New Roman" w:eastAsia="黑体" w:cs="Times New Roman"/>
            </w:rPr>
            <w:fldChar w:fldCharType="end"/>
          </w:r>
          <w:r>
            <w:rPr>
              <w:rFonts w:hint="default" w:ascii="Times New Roman" w:hAnsi="Times New Roman" w:eastAsia="黑体" w:cs="Times New Roman"/>
              <w:color w:val="000000" w:themeColor="text1"/>
              <w:szCs w:val="28"/>
              <w14:textFill>
                <w14:solidFill>
                  <w14:schemeClr w14:val="tx1"/>
                </w14:solidFill>
              </w14:textFill>
            </w:rPr>
            <w:fldChar w:fldCharType="end"/>
          </w:r>
        </w:p>
        <w:p>
          <w:pPr>
            <w:pStyle w:val="19"/>
            <w:tabs>
              <w:tab w:val="right" w:leader="dot" w:pos="8306"/>
            </w:tabs>
            <w:spacing w:line="480" w:lineRule="auto"/>
          </w:pPr>
          <w:r>
            <w:rPr>
              <w:rFonts w:hint="default" w:ascii="Times New Roman" w:hAnsi="Times New Roman" w:eastAsia="黑体" w:cs="Times New Roman"/>
              <w:color w:val="000000" w:themeColor="text1"/>
              <w:szCs w:val="28"/>
              <w14:textFill>
                <w14:solidFill>
                  <w14:schemeClr w14:val="tx1"/>
                </w14:solidFill>
              </w14:textFill>
            </w:rPr>
            <w:fldChar w:fldCharType="begin"/>
          </w:r>
          <w:r>
            <w:rPr>
              <w:rFonts w:hint="default" w:ascii="Times New Roman" w:hAnsi="Times New Roman" w:eastAsia="黑体" w:cs="Times New Roman"/>
              <w:szCs w:val="28"/>
            </w:rPr>
            <w:instrText xml:space="preserve"> HYPERLINK \l _Toc11656 </w:instrText>
          </w:r>
          <w:r>
            <w:rPr>
              <w:rFonts w:hint="default" w:ascii="Times New Roman" w:hAnsi="Times New Roman" w:eastAsia="黑体" w:cs="Times New Roman"/>
              <w:szCs w:val="28"/>
            </w:rPr>
            <w:fldChar w:fldCharType="separate"/>
          </w:r>
          <w:r>
            <w:rPr>
              <w:rFonts w:hint="default" w:ascii="Times New Roman" w:hAnsi="Times New Roman" w:eastAsia="黑体" w:cs="Times New Roman"/>
              <w:bCs/>
              <w:szCs w:val="30"/>
            </w:rPr>
            <w:t>七、结论</w:t>
          </w:r>
          <w:r>
            <w:rPr>
              <w:rFonts w:hint="default" w:ascii="Times New Roman" w:hAnsi="Times New Roman" w:eastAsia="黑体" w:cs="Times New Roman"/>
            </w:rPr>
            <w:tab/>
          </w:r>
          <w:r>
            <w:rPr>
              <w:rFonts w:hint="default" w:ascii="Times New Roman" w:hAnsi="Times New Roman" w:eastAsia="黑体" w:cs="Times New Roman"/>
            </w:rPr>
            <w:fldChar w:fldCharType="begin"/>
          </w:r>
          <w:r>
            <w:rPr>
              <w:rFonts w:hint="default" w:ascii="Times New Roman" w:hAnsi="Times New Roman" w:eastAsia="黑体" w:cs="Times New Roman"/>
            </w:rPr>
            <w:instrText xml:space="preserve"> PAGEREF _Toc11656 \h </w:instrText>
          </w:r>
          <w:r>
            <w:rPr>
              <w:rFonts w:hint="default" w:ascii="Times New Roman" w:hAnsi="Times New Roman" w:eastAsia="黑体" w:cs="Times New Roman"/>
            </w:rPr>
            <w:fldChar w:fldCharType="separate"/>
          </w:r>
          <w:r>
            <w:rPr>
              <w:rFonts w:hint="default" w:ascii="Times New Roman" w:hAnsi="Times New Roman" w:eastAsia="黑体" w:cs="Times New Roman"/>
            </w:rPr>
            <w:t>81</w:t>
          </w:r>
          <w:r>
            <w:rPr>
              <w:rFonts w:hint="default" w:ascii="Times New Roman" w:hAnsi="Times New Roman" w:eastAsia="黑体" w:cs="Times New Roman"/>
            </w:rPr>
            <w:fldChar w:fldCharType="end"/>
          </w:r>
          <w:r>
            <w:rPr>
              <w:rFonts w:hint="default" w:ascii="Times New Roman" w:hAnsi="Times New Roman" w:eastAsia="黑体" w:cs="Times New Roman"/>
              <w:color w:val="000000" w:themeColor="text1"/>
              <w:szCs w:val="28"/>
              <w14:textFill>
                <w14:solidFill>
                  <w14:schemeClr w14:val="tx1"/>
                </w14:solidFill>
              </w14:textFill>
            </w:rPr>
            <w:fldChar w:fldCharType="end"/>
          </w:r>
        </w:p>
        <w:p>
          <w:pPr>
            <w:pStyle w:val="21"/>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themeColor="text1"/>
              <w:kern w:val="2"/>
              <w:sz w:val="28"/>
              <w:szCs w:val="28"/>
              <w:lang w:val="en-US" w:eastAsia="zh-CN" w:bidi="ar-SA"/>
              <w14:textFill>
                <w14:solidFill>
                  <w14:schemeClr w14:val="tx1"/>
                </w14:solidFill>
              </w14:textFill>
            </w:rPr>
          </w:pPr>
          <w:r>
            <w:rPr>
              <w:rFonts w:hint="default" w:ascii="Times New Roman" w:hAnsi="Times New Roman" w:eastAsia="宋体" w:cs="Times New Roman"/>
              <w:color w:val="000000" w:themeColor="text1"/>
              <w:szCs w:val="28"/>
              <w14:textFill>
                <w14:solidFill>
                  <w14:schemeClr w14:val="tx1"/>
                </w14:solidFill>
              </w14:textFill>
            </w:rPr>
            <w:fldChar w:fldCharType="end"/>
          </w:r>
        </w:p>
      </w:sdtContent>
    </w:sdt>
    <w:p>
      <w:pPr>
        <w:rPr>
          <w:rFonts w:hint="default" w:ascii="Times New Roman" w:hAnsi="Times New Roman" w:eastAsia="宋体" w:cs="Times New Roman"/>
          <w:color w:val="000000" w:themeColor="text1"/>
          <w:sz w:val="28"/>
          <w:szCs w:val="28"/>
          <w14:textFill>
            <w14:solidFill>
              <w14:schemeClr w14:val="tx1"/>
            </w14:solidFill>
          </w14:textFill>
        </w:rPr>
      </w:pPr>
    </w:p>
    <w:p>
      <w:pPr>
        <w:rPr>
          <w:rFonts w:hint="default" w:ascii="Times New Roman" w:hAnsi="Times New Roman" w:cs="Times New Roman"/>
          <w:color w:val="000000" w:themeColor="text1"/>
          <w14:textFill>
            <w14:solidFill>
              <w14:schemeClr w14:val="tx1"/>
            </w14:solidFill>
          </w14:textFill>
        </w:rPr>
      </w:pPr>
    </w:p>
    <w:p>
      <w:pPr>
        <w:pStyle w:val="20"/>
        <w:rPr>
          <w:rFonts w:hint="default" w:ascii="Times New Roman" w:hAnsi="Times New Roman" w:cs="Times New Roman"/>
          <w:color w:val="000000" w:themeColor="text1"/>
          <w14:textFill>
            <w14:solidFill>
              <w14:schemeClr w14:val="tx1"/>
            </w14:solidFill>
          </w14:textFill>
        </w:rPr>
      </w:pPr>
    </w:p>
    <w:p>
      <w:pPr>
        <w:pStyle w:val="21"/>
        <w:rPr>
          <w:rFonts w:hint="default" w:ascii="Times New Roman" w:hAnsi="Times New Roman" w:cs="Times New Roman"/>
          <w:color w:val="000000" w:themeColor="text1"/>
          <w14:textFill>
            <w14:solidFill>
              <w14:schemeClr w14:val="tx1"/>
            </w14:solidFill>
          </w14:textFill>
        </w:rPr>
      </w:pPr>
    </w:p>
    <w:p>
      <w:pPr>
        <w:rPr>
          <w:rFonts w:hint="default" w:ascii="Times New Roman" w:hAnsi="Times New Roman" w:cs="Times New Roman"/>
          <w:color w:val="000000" w:themeColor="text1"/>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pPr>
        <w:pStyle w:val="3"/>
        <w:rPr>
          <w:rFonts w:hint="default" w:ascii="Times New Roman" w:hAnsi="Times New Roman" w:eastAsia="黑体" w:cs="Times New Roman"/>
          <w:b w:val="0"/>
          <w:bCs/>
          <w:color w:val="000000" w:themeColor="text1"/>
          <w:sz w:val="30"/>
          <w:szCs w:val="30"/>
          <w14:textFill>
            <w14:solidFill>
              <w14:schemeClr w14:val="tx1"/>
            </w14:solidFill>
          </w14:textFill>
        </w:rPr>
      </w:pPr>
      <w:bookmarkStart w:id="6" w:name="_Toc10195"/>
      <w:r>
        <w:rPr>
          <w:rFonts w:hint="default" w:ascii="Times New Roman" w:hAnsi="Times New Roman" w:eastAsia="黑体" w:cs="Times New Roman"/>
          <w:b w:val="0"/>
          <w:bCs/>
          <w:color w:val="000000" w:themeColor="text1"/>
          <w:sz w:val="30"/>
          <w:szCs w:val="30"/>
          <w14:textFill>
            <w14:solidFill>
              <w14:schemeClr w14:val="tx1"/>
            </w14:solidFill>
          </w14:textFill>
        </w:rPr>
        <w:t>一、建设项目基本情况</w:t>
      </w:r>
      <w:bookmarkEnd w:id="6"/>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339"/>
        <w:gridCol w:w="14"/>
        <w:gridCol w:w="1408"/>
        <w:gridCol w:w="2789"/>
        <w:gridCol w:w="1417"/>
        <w:gridCol w:w="28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680" w:hRule="atLeast"/>
        </w:trPr>
        <w:tc>
          <w:tcPr>
            <w:tcW w:w="1003" w:type="pct"/>
            <w:gridSpan w:val="3"/>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cs="Times New Roman"/>
                <w:color w:val="auto"/>
              </w:rPr>
            </w:pPr>
            <w:r>
              <w:rPr>
                <w:rFonts w:hint="default" w:ascii="Times New Roman" w:hAnsi="Times New Roman" w:cs="Times New Roman"/>
                <w:color w:val="auto"/>
              </w:rPr>
              <w:t>建设项目名称</w:t>
            </w:r>
          </w:p>
        </w:tc>
        <w:tc>
          <w:tcPr>
            <w:tcW w:w="3996" w:type="pct"/>
            <w:gridSpan w:val="3"/>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cs="Times New Roman"/>
                <w:color w:val="auto"/>
              </w:rPr>
            </w:pPr>
            <w:bookmarkStart w:id="7" w:name="OLE_LINK14"/>
            <w:r>
              <w:rPr>
                <w:rFonts w:hint="default" w:ascii="Times New Roman" w:hAnsi="Times New Roman" w:cs="Times New Roman"/>
                <w:color w:val="auto"/>
              </w:rPr>
              <w:t>中国石油天然气股份有限公司大港油田分公司</w:t>
            </w:r>
            <w:bookmarkEnd w:id="7"/>
            <w:r>
              <w:rPr>
                <w:rFonts w:hint="default" w:ascii="Times New Roman" w:hAnsi="Times New Roman" w:cs="Times New Roman"/>
                <w:color w:val="auto"/>
              </w:rPr>
              <w:t>莫</w:t>
            </w:r>
            <w:r>
              <w:rPr>
                <w:rFonts w:hint="eastAsia" w:cs="Times New Roman"/>
                <w:color w:val="auto"/>
                <w:lang w:eastAsia="zh-CN"/>
              </w:rPr>
              <w:t>24H</w:t>
            </w:r>
            <w:r>
              <w:rPr>
                <w:rFonts w:hint="default" w:ascii="Times New Roman" w:hAnsi="Times New Roman" w:cs="Times New Roman"/>
                <w:color w:val="auto"/>
              </w:rPr>
              <w:t>评价井项目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680" w:hRule="atLeast"/>
        </w:trPr>
        <w:tc>
          <w:tcPr>
            <w:tcW w:w="1003" w:type="pct"/>
            <w:gridSpan w:val="3"/>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cs="Times New Roman"/>
                <w:color w:val="auto"/>
              </w:rPr>
            </w:pPr>
            <w:r>
              <w:rPr>
                <w:rFonts w:hint="default" w:ascii="Times New Roman" w:hAnsi="Times New Roman" w:cs="Times New Roman"/>
                <w:color w:val="auto"/>
              </w:rPr>
              <w:t>项目代码</w:t>
            </w:r>
          </w:p>
        </w:tc>
        <w:tc>
          <w:tcPr>
            <w:tcW w:w="3996" w:type="pct"/>
            <w:gridSpan w:val="3"/>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cs="Times New Roman"/>
                <w:color w:val="auto"/>
              </w:rPr>
            </w:pPr>
            <w:r>
              <w:rPr>
                <w:rFonts w:hint="default" w:ascii="Times New Roman" w:hAnsi="Times New Roman" w:cs="Times New Roman"/>
                <w:color w:val="auto"/>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680" w:hRule="atLeast"/>
        </w:trPr>
        <w:tc>
          <w:tcPr>
            <w:tcW w:w="1003" w:type="pct"/>
            <w:gridSpan w:val="3"/>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cs="Times New Roman"/>
                <w:color w:val="auto"/>
              </w:rPr>
            </w:pPr>
            <w:r>
              <w:rPr>
                <w:rFonts w:hint="default" w:ascii="Times New Roman" w:hAnsi="Times New Roman" w:cs="Times New Roman"/>
                <w:color w:val="auto"/>
                <w:spacing w:val="-11"/>
              </w:rPr>
              <w:t>建设单位联系人</w:t>
            </w:r>
          </w:p>
        </w:tc>
        <w:tc>
          <w:tcPr>
            <w:tcW w:w="1588" w:type="pct"/>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bCs/>
                <w:color w:val="auto"/>
                <w:spacing w:val="-11"/>
                <w:highlight w:val="none"/>
                <w:lang w:val="en-US" w:eastAsia="zh-CN"/>
              </w:rPr>
            </w:pPr>
          </w:p>
        </w:tc>
        <w:tc>
          <w:tcPr>
            <w:tcW w:w="807" w:type="pct"/>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cs="Times New Roman"/>
                <w:bCs/>
                <w:color w:val="auto"/>
                <w:spacing w:val="-11"/>
                <w:highlight w:val="none"/>
              </w:rPr>
            </w:pPr>
            <w:r>
              <w:rPr>
                <w:rFonts w:hint="default" w:ascii="Times New Roman" w:hAnsi="Times New Roman" w:cs="Times New Roman"/>
                <w:bCs/>
                <w:color w:val="auto"/>
                <w:spacing w:val="-11"/>
                <w:highlight w:val="none"/>
              </w:rPr>
              <w:t>联系方式</w:t>
            </w:r>
          </w:p>
        </w:tc>
        <w:tc>
          <w:tcPr>
            <w:tcW w:w="1601" w:type="pct"/>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bCs/>
                <w:color w:val="auto"/>
                <w:spacing w:val="-1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680" w:hRule="atLeast"/>
        </w:trPr>
        <w:tc>
          <w:tcPr>
            <w:tcW w:w="1003" w:type="pct"/>
            <w:gridSpan w:val="3"/>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cs="Times New Roman"/>
                <w:color w:val="auto"/>
              </w:rPr>
            </w:pPr>
            <w:r>
              <w:rPr>
                <w:rFonts w:hint="default" w:ascii="Times New Roman" w:hAnsi="Times New Roman" w:cs="Times New Roman"/>
                <w:color w:val="auto"/>
              </w:rPr>
              <w:t>建设地点</w:t>
            </w:r>
          </w:p>
        </w:tc>
        <w:tc>
          <w:tcPr>
            <w:tcW w:w="3996" w:type="pct"/>
            <w:gridSpan w:val="3"/>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cs="Times New Roman"/>
                <w:color w:val="auto"/>
              </w:rPr>
            </w:pPr>
            <w:r>
              <w:rPr>
                <w:rFonts w:hint="default" w:ascii="Times New Roman" w:hAnsi="Times New Roman" w:cs="Times New Roman"/>
                <w:color w:val="auto"/>
              </w:rPr>
              <w:t>新疆维吾尔自治区昌吉回族自治州呼图壁县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680" w:hRule="atLeast"/>
        </w:trPr>
        <w:tc>
          <w:tcPr>
            <w:tcW w:w="1003" w:type="pct"/>
            <w:gridSpan w:val="3"/>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cs="Times New Roman"/>
                <w:color w:val="auto"/>
              </w:rPr>
            </w:pPr>
            <w:bookmarkStart w:id="8" w:name="OLE_LINK40"/>
            <w:r>
              <w:rPr>
                <w:rFonts w:hint="default" w:ascii="Times New Roman" w:hAnsi="Times New Roman" w:cs="Times New Roman"/>
                <w:color w:val="auto"/>
              </w:rPr>
              <w:t>地理坐标</w:t>
            </w:r>
            <w:bookmarkEnd w:id="8"/>
          </w:p>
        </w:tc>
        <w:tc>
          <w:tcPr>
            <w:tcW w:w="3996" w:type="pct"/>
            <w:gridSpan w:val="3"/>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cs="Times New Roman"/>
                <w:color w:val="auto"/>
                <w:spacing w:val="-17"/>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680" w:hRule="atLeast"/>
        </w:trPr>
        <w:tc>
          <w:tcPr>
            <w:tcW w:w="1003" w:type="pct"/>
            <w:gridSpan w:val="3"/>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cs="Times New Roman"/>
                <w:color w:val="auto"/>
              </w:rPr>
            </w:pPr>
            <w:r>
              <w:rPr>
                <w:rFonts w:hint="default" w:ascii="Times New Roman" w:hAnsi="Times New Roman" w:cs="Times New Roman"/>
                <w:color w:val="auto"/>
              </w:rPr>
              <w:t>建设项目</w:t>
            </w:r>
          </w:p>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cs="Times New Roman"/>
                <w:color w:val="auto"/>
              </w:rPr>
            </w:pPr>
            <w:r>
              <w:rPr>
                <w:rFonts w:hint="default" w:ascii="Times New Roman" w:hAnsi="Times New Roman" w:cs="Times New Roman"/>
                <w:color w:val="auto"/>
              </w:rPr>
              <w:t>行业类别</w:t>
            </w:r>
          </w:p>
        </w:tc>
        <w:tc>
          <w:tcPr>
            <w:tcW w:w="1588" w:type="pct"/>
            <w:vAlign w:val="center"/>
          </w:tcPr>
          <w:p>
            <w:pPr>
              <w:keepNext w:val="0"/>
              <w:keepLines w:val="0"/>
              <w:pageBreakBefore w:val="0"/>
              <w:widowControl w:val="0"/>
              <w:kinsoku/>
              <w:wordWrap/>
              <w:overflowPunct/>
              <w:topLinePunct w:val="0"/>
              <w:bidi w:val="0"/>
              <w:adjustRightInd w:val="0"/>
              <w:snapToGrid w:val="0"/>
              <w:spacing w:line="240" w:lineRule="auto"/>
              <w:ind w:left="-27" w:leftChars="-80" w:right="-134" w:rightChars="-56" w:hanging="165" w:hangingChars="69"/>
              <w:jc w:val="center"/>
              <w:textAlignment w:val="auto"/>
              <w:rPr>
                <w:rFonts w:hint="default" w:ascii="Times New Roman" w:hAnsi="Times New Roman" w:cs="Times New Roman"/>
                <w:color w:val="auto"/>
              </w:rPr>
            </w:pPr>
            <w:r>
              <w:rPr>
                <w:rFonts w:hint="default" w:ascii="Times New Roman" w:hAnsi="Times New Roman" w:cs="Times New Roman"/>
                <w:color w:val="auto"/>
              </w:rPr>
              <w:t>四十六、专业技术服务</w:t>
            </w:r>
          </w:p>
          <w:p>
            <w:pPr>
              <w:keepNext w:val="0"/>
              <w:keepLines w:val="0"/>
              <w:pageBreakBefore w:val="0"/>
              <w:widowControl w:val="0"/>
              <w:kinsoku/>
              <w:wordWrap/>
              <w:overflowPunct/>
              <w:topLinePunct w:val="0"/>
              <w:bidi w:val="0"/>
              <w:adjustRightInd w:val="0"/>
              <w:snapToGrid w:val="0"/>
              <w:spacing w:line="240" w:lineRule="auto"/>
              <w:ind w:right="-134" w:rightChars="-56"/>
              <w:textAlignment w:val="auto"/>
              <w:rPr>
                <w:rFonts w:hint="default" w:ascii="Times New Roman" w:hAnsi="Times New Roman" w:cs="Times New Roman"/>
                <w:color w:val="auto"/>
              </w:rPr>
            </w:pPr>
            <w:r>
              <w:rPr>
                <w:rFonts w:hint="default" w:ascii="Times New Roman" w:hAnsi="Times New Roman" w:cs="Times New Roman"/>
                <w:color w:val="auto"/>
              </w:rPr>
              <w:t>业99陆地矿产资源地质勘查（含油气资源勘探）</w:t>
            </w:r>
          </w:p>
        </w:tc>
        <w:tc>
          <w:tcPr>
            <w:tcW w:w="807" w:type="pct"/>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cs="Times New Roman"/>
                <w:color w:val="auto"/>
              </w:rPr>
            </w:pPr>
            <w:r>
              <w:rPr>
                <w:rFonts w:hint="default" w:ascii="Times New Roman" w:hAnsi="Times New Roman" w:cs="Times New Roman"/>
                <w:color w:val="auto"/>
              </w:rPr>
              <w:t>用地面积（m</w:t>
            </w:r>
            <w:r>
              <w:rPr>
                <w:rFonts w:hint="default" w:ascii="Times New Roman" w:hAnsi="Times New Roman" w:cs="Times New Roman"/>
                <w:color w:val="auto"/>
                <w:vertAlign w:val="superscript"/>
              </w:rPr>
              <w:t>2</w:t>
            </w:r>
            <w:r>
              <w:rPr>
                <w:rFonts w:hint="default" w:ascii="Times New Roman" w:hAnsi="Times New Roman" w:cs="Times New Roman"/>
                <w:color w:val="auto"/>
              </w:rPr>
              <w:t>）/长度（km）</w:t>
            </w:r>
          </w:p>
        </w:tc>
        <w:tc>
          <w:tcPr>
            <w:tcW w:w="1601" w:type="pct"/>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ascii="Times New Roman" w:hAnsi="Times New Roman" w:eastAsia="宋体" w:cs="Times New Roman"/>
                <w:color w:val="auto"/>
                <w:lang w:eastAsia="zh-CN"/>
              </w:rPr>
            </w:pPr>
            <w:r>
              <w:rPr>
                <w:rFonts w:hint="eastAsia" w:cs="Times New Roman"/>
                <w:color w:val="auto"/>
                <w:lang w:eastAsia="zh-CN"/>
              </w:rPr>
              <w:t>16829</w:t>
            </w:r>
          </w:p>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cs="Times New Roman"/>
                <w:color w:val="auto"/>
                <w:highlight w:val="yellow"/>
              </w:rPr>
            </w:pPr>
            <w:r>
              <w:rPr>
                <w:rFonts w:hint="default" w:ascii="Times New Roman" w:hAnsi="Times New Roman" w:cs="Times New Roman"/>
                <w:color w:val="auto"/>
              </w:rPr>
              <w:t>（临时用地）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90" w:hRule="atLeast"/>
        </w:trPr>
        <w:tc>
          <w:tcPr>
            <w:tcW w:w="1003" w:type="pct"/>
            <w:gridSpan w:val="3"/>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cs="Times New Roman"/>
                <w:color w:val="auto"/>
              </w:rPr>
            </w:pPr>
            <w:r>
              <w:rPr>
                <w:rFonts w:hint="default" w:ascii="Times New Roman" w:hAnsi="Times New Roman" w:cs="Times New Roman"/>
                <w:color w:val="auto"/>
              </w:rPr>
              <w:t>建设性质</w:t>
            </w:r>
          </w:p>
        </w:tc>
        <w:tc>
          <w:tcPr>
            <w:tcW w:w="1588" w:type="pct"/>
            <w:vAlign w:val="center"/>
          </w:tcPr>
          <w:p>
            <w:pPr>
              <w:keepNext w:val="0"/>
              <w:keepLines w:val="0"/>
              <w:pageBreakBefore w:val="0"/>
              <w:widowControl w:val="0"/>
              <w:kinsoku/>
              <w:wordWrap/>
              <w:overflowPunct/>
              <w:topLinePunct w:val="0"/>
              <w:bidi w:val="0"/>
              <w:adjustRightInd w:val="0"/>
              <w:snapToGrid w:val="0"/>
              <w:spacing w:line="240" w:lineRule="auto"/>
              <w:jc w:val="left"/>
              <w:textAlignment w:val="auto"/>
              <w:rPr>
                <w:rFonts w:hint="eastAsia" w:asciiTheme="majorEastAsia" w:hAnsiTheme="majorEastAsia" w:eastAsiaTheme="majorEastAsia" w:cstheme="majorEastAsia"/>
                <w:color w:val="auto"/>
              </w:rPr>
            </w:pPr>
            <w:r>
              <w:rPr>
                <w:rFonts w:hint="eastAsia" w:asciiTheme="majorEastAsia" w:hAnsiTheme="majorEastAsia" w:eastAsiaTheme="majorEastAsia" w:cstheme="majorEastAsia"/>
                <w:color w:val="auto"/>
              </w:rPr>
              <w:sym w:font="Wingdings 2" w:char="0052"/>
            </w:r>
            <w:r>
              <w:rPr>
                <w:rFonts w:hint="eastAsia" w:asciiTheme="majorEastAsia" w:hAnsiTheme="majorEastAsia" w:eastAsiaTheme="majorEastAsia" w:cstheme="majorEastAsia"/>
                <w:color w:val="auto"/>
              </w:rPr>
              <w:t>新建（迁建）</w:t>
            </w:r>
          </w:p>
          <w:p>
            <w:pPr>
              <w:keepNext w:val="0"/>
              <w:keepLines w:val="0"/>
              <w:pageBreakBefore w:val="0"/>
              <w:widowControl w:val="0"/>
              <w:kinsoku/>
              <w:wordWrap/>
              <w:overflowPunct/>
              <w:topLinePunct w:val="0"/>
              <w:bidi w:val="0"/>
              <w:adjustRightInd w:val="0"/>
              <w:snapToGrid w:val="0"/>
              <w:spacing w:line="240" w:lineRule="auto"/>
              <w:jc w:val="left"/>
              <w:textAlignment w:val="auto"/>
              <w:rPr>
                <w:rFonts w:hint="eastAsia" w:asciiTheme="majorEastAsia" w:hAnsiTheme="majorEastAsia" w:eastAsiaTheme="majorEastAsia" w:cstheme="majorEastAsia"/>
                <w:color w:val="auto"/>
              </w:rPr>
            </w:pPr>
            <w:r>
              <w:rPr>
                <w:rFonts w:hint="eastAsia" w:asciiTheme="majorEastAsia" w:hAnsiTheme="majorEastAsia" w:eastAsiaTheme="majorEastAsia" w:cstheme="majorEastAsia"/>
                <w:color w:val="auto"/>
              </w:rPr>
              <w:t>□改建</w:t>
            </w:r>
          </w:p>
          <w:p>
            <w:pPr>
              <w:keepNext w:val="0"/>
              <w:keepLines w:val="0"/>
              <w:pageBreakBefore w:val="0"/>
              <w:widowControl w:val="0"/>
              <w:kinsoku/>
              <w:wordWrap/>
              <w:overflowPunct/>
              <w:topLinePunct w:val="0"/>
              <w:bidi w:val="0"/>
              <w:adjustRightInd w:val="0"/>
              <w:snapToGrid w:val="0"/>
              <w:spacing w:line="240" w:lineRule="auto"/>
              <w:jc w:val="left"/>
              <w:textAlignment w:val="auto"/>
              <w:rPr>
                <w:rFonts w:hint="eastAsia" w:asciiTheme="majorEastAsia" w:hAnsiTheme="majorEastAsia" w:eastAsiaTheme="majorEastAsia" w:cstheme="majorEastAsia"/>
                <w:color w:val="auto"/>
              </w:rPr>
            </w:pPr>
            <w:r>
              <w:rPr>
                <w:rFonts w:hint="eastAsia" w:asciiTheme="majorEastAsia" w:hAnsiTheme="majorEastAsia" w:eastAsiaTheme="majorEastAsia" w:cstheme="majorEastAsia"/>
                <w:color w:val="auto"/>
              </w:rPr>
              <w:t>□扩建</w:t>
            </w:r>
          </w:p>
          <w:p>
            <w:pPr>
              <w:keepNext w:val="0"/>
              <w:keepLines w:val="0"/>
              <w:pageBreakBefore w:val="0"/>
              <w:widowControl w:val="0"/>
              <w:kinsoku/>
              <w:wordWrap/>
              <w:overflowPunct/>
              <w:topLinePunct w:val="0"/>
              <w:bidi w:val="0"/>
              <w:adjustRightInd w:val="0"/>
              <w:snapToGrid w:val="0"/>
              <w:spacing w:line="240" w:lineRule="auto"/>
              <w:jc w:val="left"/>
              <w:textAlignment w:val="auto"/>
              <w:rPr>
                <w:rFonts w:hint="eastAsia" w:asciiTheme="majorEastAsia" w:hAnsiTheme="majorEastAsia" w:eastAsiaTheme="majorEastAsia" w:cstheme="majorEastAsia"/>
                <w:color w:val="auto"/>
              </w:rPr>
            </w:pPr>
            <w:r>
              <w:rPr>
                <w:rFonts w:hint="eastAsia" w:asciiTheme="majorEastAsia" w:hAnsiTheme="majorEastAsia" w:eastAsiaTheme="majorEastAsia" w:cstheme="majorEastAsia"/>
                <w:color w:val="auto"/>
              </w:rPr>
              <w:t>□技术改造</w:t>
            </w:r>
          </w:p>
        </w:tc>
        <w:tc>
          <w:tcPr>
            <w:tcW w:w="807" w:type="pct"/>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asciiTheme="majorEastAsia" w:hAnsiTheme="majorEastAsia" w:eastAsiaTheme="majorEastAsia" w:cstheme="majorEastAsia"/>
                <w:color w:val="auto"/>
              </w:rPr>
            </w:pPr>
            <w:r>
              <w:rPr>
                <w:rFonts w:hint="eastAsia" w:asciiTheme="majorEastAsia" w:hAnsiTheme="majorEastAsia" w:eastAsiaTheme="majorEastAsia" w:cstheme="majorEastAsia"/>
                <w:color w:val="auto"/>
              </w:rPr>
              <w:t>建设项目</w:t>
            </w:r>
          </w:p>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asciiTheme="majorEastAsia" w:hAnsiTheme="majorEastAsia" w:eastAsiaTheme="majorEastAsia" w:cstheme="majorEastAsia"/>
                <w:color w:val="auto"/>
              </w:rPr>
            </w:pPr>
            <w:r>
              <w:rPr>
                <w:rFonts w:hint="eastAsia" w:asciiTheme="majorEastAsia" w:hAnsiTheme="majorEastAsia" w:eastAsiaTheme="majorEastAsia" w:cstheme="majorEastAsia"/>
                <w:color w:val="auto"/>
              </w:rPr>
              <w:t>申报情形</w:t>
            </w:r>
          </w:p>
        </w:tc>
        <w:tc>
          <w:tcPr>
            <w:tcW w:w="1601" w:type="pct"/>
            <w:vAlign w:val="center"/>
          </w:tcPr>
          <w:p>
            <w:pPr>
              <w:keepNext w:val="0"/>
              <w:keepLines w:val="0"/>
              <w:pageBreakBefore w:val="0"/>
              <w:widowControl w:val="0"/>
              <w:kinsoku/>
              <w:wordWrap/>
              <w:overflowPunct/>
              <w:topLinePunct w:val="0"/>
              <w:bidi w:val="0"/>
              <w:adjustRightInd w:val="0"/>
              <w:snapToGrid w:val="0"/>
              <w:spacing w:line="240" w:lineRule="auto"/>
              <w:jc w:val="left"/>
              <w:textAlignment w:val="auto"/>
              <w:rPr>
                <w:rFonts w:hint="eastAsia" w:asciiTheme="majorEastAsia" w:hAnsiTheme="majorEastAsia" w:eastAsiaTheme="majorEastAsia" w:cstheme="majorEastAsia"/>
                <w:color w:val="auto"/>
              </w:rPr>
            </w:pPr>
            <w:r>
              <w:rPr>
                <w:rFonts w:hint="eastAsia" w:asciiTheme="majorEastAsia" w:hAnsiTheme="majorEastAsia" w:eastAsiaTheme="majorEastAsia" w:cstheme="majorEastAsia"/>
                <w:color w:val="auto"/>
                <w:spacing w:val="-11"/>
              </w:rPr>
              <w:sym w:font="Wingdings 2" w:char="0052"/>
            </w:r>
            <w:r>
              <w:rPr>
                <w:rFonts w:hint="eastAsia" w:asciiTheme="majorEastAsia" w:hAnsiTheme="majorEastAsia" w:eastAsiaTheme="majorEastAsia" w:cstheme="majorEastAsia"/>
                <w:color w:val="auto"/>
              </w:rPr>
              <w:t>首次申报项目</w:t>
            </w:r>
          </w:p>
          <w:p>
            <w:pPr>
              <w:keepNext w:val="0"/>
              <w:keepLines w:val="0"/>
              <w:pageBreakBefore w:val="0"/>
              <w:widowControl w:val="0"/>
              <w:kinsoku/>
              <w:wordWrap/>
              <w:overflowPunct/>
              <w:topLinePunct w:val="0"/>
              <w:bidi w:val="0"/>
              <w:adjustRightInd w:val="0"/>
              <w:snapToGrid w:val="0"/>
              <w:spacing w:line="240" w:lineRule="auto"/>
              <w:jc w:val="left"/>
              <w:textAlignment w:val="auto"/>
              <w:rPr>
                <w:rFonts w:hint="eastAsia" w:asciiTheme="majorEastAsia" w:hAnsiTheme="majorEastAsia" w:eastAsiaTheme="majorEastAsia" w:cstheme="majorEastAsia"/>
                <w:color w:val="auto"/>
                <w:spacing w:val="-23"/>
              </w:rPr>
            </w:pPr>
            <w:r>
              <w:rPr>
                <w:rFonts w:hint="eastAsia" w:asciiTheme="majorEastAsia" w:hAnsiTheme="majorEastAsia" w:eastAsiaTheme="majorEastAsia" w:cstheme="majorEastAsia"/>
                <w:color w:val="auto"/>
                <w:spacing w:val="-23"/>
              </w:rPr>
              <w:t>□不予批准后再次申报项目</w:t>
            </w:r>
          </w:p>
          <w:p>
            <w:pPr>
              <w:keepNext w:val="0"/>
              <w:keepLines w:val="0"/>
              <w:pageBreakBefore w:val="0"/>
              <w:widowControl w:val="0"/>
              <w:kinsoku/>
              <w:wordWrap/>
              <w:overflowPunct/>
              <w:topLinePunct w:val="0"/>
              <w:bidi w:val="0"/>
              <w:adjustRightInd w:val="0"/>
              <w:snapToGrid w:val="0"/>
              <w:spacing w:line="240" w:lineRule="auto"/>
              <w:jc w:val="left"/>
              <w:textAlignment w:val="auto"/>
              <w:rPr>
                <w:rFonts w:hint="eastAsia" w:asciiTheme="majorEastAsia" w:hAnsiTheme="majorEastAsia" w:eastAsiaTheme="majorEastAsia" w:cstheme="majorEastAsia"/>
                <w:color w:val="auto"/>
                <w:spacing w:val="-6"/>
              </w:rPr>
            </w:pPr>
            <w:r>
              <w:rPr>
                <w:rFonts w:hint="eastAsia" w:asciiTheme="majorEastAsia" w:hAnsiTheme="majorEastAsia" w:eastAsiaTheme="majorEastAsia" w:cstheme="majorEastAsia"/>
                <w:color w:val="auto"/>
                <w:spacing w:val="-6"/>
              </w:rPr>
              <w:t>□超五年重新审核项目</w:t>
            </w:r>
          </w:p>
          <w:p>
            <w:pPr>
              <w:keepNext w:val="0"/>
              <w:keepLines w:val="0"/>
              <w:pageBreakBefore w:val="0"/>
              <w:widowControl w:val="0"/>
              <w:kinsoku/>
              <w:wordWrap/>
              <w:overflowPunct/>
              <w:topLinePunct w:val="0"/>
              <w:bidi w:val="0"/>
              <w:adjustRightInd w:val="0"/>
              <w:snapToGrid w:val="0"/>
              <w:spacing w:line="240" w:lineRule="auto"/>
              <w:textAlignment w:val="auto"/>
              <w:rPr>
                <w:rFonts w:hint="eastAsia" w:asciiTheme="majorEastAsia" w:hAnsiTheme="majorEastAsia" w:eastAsiaTheme="majorEastAsia" w:cstheme="majorEastAsia"/>
                <w:color w:val="auto"/>
              </w:rPr>
            </w:pPr>
            <w:r>
              <w:rPr>
                <w:rFonts w:hint="eastAsia" w:asciiTheme="majorEastAsia" w:hAnsiTheme="majorEastAsia" w:eastAsiaTheme="majorEastAsia" w:cstheme="majorEastAsia"/>
                <w:color w:val="auto"/>
                <w:spacing w:val="-23"/>
              </w:rPr>
              <w:t>□</w:t>
            </w:r>
            <w:r>
              <w:rPr>
                <w:rFonts w:hint="eastAsia" w:asciiTheme="majorEastAsia" w:hAnsiTheme="majorEastAsia" w:eastAsiaTheme="majorEastAsia" w:cstheme="majorEastAsia"/>
                <w:color w:val="auto"/>
                <w:spacing w:val="-11"/>
              </w:rPr>
              <w:t>重大变动重新报批项目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680" w:hRule="atLeast"/>
        </w:trPr>
        <w:tc>
          <w:tcPr>
            <w:tcW w:w="1003" w:type="pct"/>
            <w:gridSpan w:val="3"/>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cs="Times New Roman"/>
                <w:color w:val="auto"/>
              </w:rPr>
            </w:pPr>
            <w:r>
              <w:rPr>
                <w:rFonts w:hint="default" w:ascii="Times New Roman" w:hAnsi="Times New Roman" w:cs="Times New Roman"/>
                <w:color w:val="auto"/>
              </w:rPr>
              <w:t>项目审批（核准/备案）部门</w:t>
            </w:r>
          </w:p>
        </w:tc>
        <w:tc>
          <w:tcPr>
            <w:tcW w:w="1588" w:type="pct"/>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cs="Times New Roman"/>
                <w:color w:val="auto"/>
              </w:rPr>
            </w:pPr>
            <w:r>
              <w:rPr>
                <w:rFonts w:hint="default" w:ascii="Times New Roman" w:hAnsi="Times New Roman" w:cs="Times New Roman"/>
                <w:color w:val="auto"/>
              </w:rPr>
              <w:t>无</w:t>
            </w:r>
          </w:p>
        </w:tc>
        <w:tc>
          <w:tcPr>
            <w:tcW w:w="807" w:type="pct"/>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cs="Times New Roman"/>
                <w:color w:val="auto"/>
              </w:rPr>
            </w:pPr>
            <w:r>
              <w:rPr>
                <w:rFonts w:hint="default" w:ascii="Times New Roman" w:hAnsi="Times New Roman" w:cs="Times New Roman"/>
                <w:color w:val="auto"/>
              </w:rPr>
              <w:t>项目审批（核准/备案）文号</w:t>
            </w:r>
          </w:p>
        </w:tc>
        <w:tc>
          <w:tcPr>
            <w:tcW w:w="1601" w:type="pct"/>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cs="Times New Roman"/>
                <w:color w:val="auto"/>
              </w:rPr>
            </w:pPr>
            <w:r>
              <w:rPr>
                <w:rFonts w:hint="default" w:ascii="Times New Roman" w:hAnsi="Times New Roman" w:cs="Times New Roman"/>
                <w:color w:val="auto"/>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680" w:hRule="atLeast"/>
        </w:trPr>
        <w:tc>
          <w:tcPr>
            <w:tcW w:w="1003" w:type="pct"/>
            <w:gridSpan w:val="3"/>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cs="Times New Roman"/>
                <w:color w:val="auto"/>
              </w:rPr>
            </w:pPr>
            <w:r>
              <w:rPr>
                <w:rFonts w:hint="default" w:ascii="Times New Roman" w:hAnsi="Times New Roman" w:cs="Times New Roman"/>
                <w:color w:val="auto"/>
              </w:rPr>
              <w:t>总投资</w:t>
            </w:r>
          </w:p>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cs="Times New Roman"/>
                <w:color w:val="auto"/>
              </w:rPr>
            </w:pPr>
            <w:r>
              <w:rPr>
                <w:rFonts w:hint="default" w:ascii="Times New Roman" w:hAnsi="Times New Roman" w:cs="Times New Roman"/>
                <w:color w:val="auto"/>
              </w:rPr>
              <w:t>（万元）</w:t>
            </w:r>
          </w:p>
        </w:tc>
        <w:tc>
          <w:tcPr>
            <w:tcW w:w="1588" w:type="pct"/>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4000</w:t>
            </w:r>
          </w:p>
        </w:tc>
        <w:tc>
          <w:tcPr>
            <w:tcW w:w="807" w:type="pct"/>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环保投资</w:t>
            </w:r>
          </w:p>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（万元）</w:t>
            </w:r>
          </w:p>
        </w:tc>
        <w:tc>
          <w:tcPr>
            <w:tcW w:w="1601" w:type="pct"/>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color w:val="auto"/>
                <w:highlight w:val="none"/>
                <w:lang w:val="en-US" w:eastAsia="zh-CN"/>
              </w:rPr>
            </w:pPr>
            <w:bookmarkStart w:id="9" w:name="OLE_LINK32"/>
            <w:r>
              <w:rPr>
                <w:rFonts w:hint="eastAsia" w:cs="Times New Roman"/>
                <w:color w:val="auto"/>
                <w:highlight w:val="none"/>
                <w:lang w:val="en-US" w:eastAsia="zh-CN"/>
              </w:rPr>
              <w:t>253</w:t>
            </w:r>
            <w:bookmarkEnd w:id="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680" w:hRule="atLeast"/>
        </w:trPr>
        <w:tc>
          <w:tcPr>
            <w:tcW w:w="1003" w:type="pct"/>
            <w:gridSpan w:val="3"/>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cs="Times New Roman"/>
                <w:color w:val="auto"/>
              </w:rPr>
            </w:pPr>
            <w:r>
              <w:rPr>
                <w:rFonts w:hint="default" w:ascii="Times New Roman" w:hAnsi="Times New Roman" w:cs="Times New Roman"/>
                <w:color w:val="auto"/>
              </w:rPr>
              <w:t>环保投资占比（%）</w:t>
            </w:r>
          </w:p>
        </w:tc>
        <w:tc>
          <w:tcPr>
            <w:tcW w:w="1588" w:type="pct"/>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6.33</w:t>
            </w:r>
          </w:p>
        </w:tc>
        <w:tc>
          <w:tcPr>
            <w:tcW w:w="807" w:type="pct"/>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施工工期</w:t>
            </w:r>
          </w:p>
        </w:tc>
        <w:tc>
          <w:tcPr>
            <w:tcW w:w="1601" w:type="pct"/>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ascii="Times New Roman" w:hAnsi="Times New Roman" w:eastAsia="宋体" w:cs="Times New Roman"/>
                <w:color w:val="auto"/>
                <w:spacing w:val="-4"/>
                <w:highlight w:val="none"/>
                <w:lang w:eastAsia="zh-CN"/>
              </w:rPr>
            </w:pPr>
            <w:r>
              <w:rPr>
                <w:rFonts w:hint="default" w:ascii="Times New Roman" w:hAnsi="Times New Roman" w:cs="Times New Roman"/>
                <w:color w:val="auto"/>
                <w:spacing w:val="-8"/>
                <w:highlight w:val="none"/>
              </w:rPr>
              <w:t>钻井期</w:t>
            </w:r>
            <w:r>
              <w:rPr>
                <w:rFonts w:hint="eastAsia" w:cs="Times New Roman"/>
                <w:color w:val="auto"/>
                <w:spacing w:val="-8"/>
                <w:highlight w:val="none"/>
                <w:lang w:val="en-US" w:eastAsia="zh-CN"/>
              </w:rPr>
              <w:t>52</w:t>
            </w:r>
            <w:r>
              <w:rPr>
                <w:rFonts w:hint="default" w:ascii="Times New Roman" w:hAnsi="Times New Roman" w:cs="Times New Roman"/>
                <w:color w:val="auto"/>
                <w:spacing w:val="-8"/>
                <w:highlight w:val="none"/>
              </w:rPr>
              <w:t>天</w:t>
            </w:r>
          </w:p>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cs="Times New Roman"/>
                <w:color w:val="auto"/>
                <w:spacing w:val="-4"/>
                <w:highlight w:val="none"/>
              </w:rPr>
            </w:pPr>
            <w:r>
              <w:rPr>
                <w:rFonts w:hint="default" w:ascii="Times New Roman" w:hAnsi="Times New Roman" w:cs="Times New Roman"/>
                <w:color w:val="auto"/>
                <w:spacing w:val="-8"/>
                <w:highlight w:val="none"/>
              </w:rPr>
              <w:t>试油期</w:t>
            </w:r>
            <w:r>
              <w:rPr>
                <w:rFonts w:hint="default" w:ascii="Times New Roman" w:hAnsi="Times New Roman" w:cs="Times New Roman"/>
                <w:color w:val="auto"/>
                <w:spacing w:val="-8"/>
                <w:highlight w:val="none"/>
                <w:lang w:val="en-US" w:eastAsia="zh-CN"/>
              </w:rPr>
              <w:t>180</w:t>
            </w:r>
            <w:r>
              <w:rPr>
                <w:rFonts w:hint="default" w:ascii="Times New Roman" w:hAnsi="Times New Roman" w:cs="Times New Roman"/>
                <w:color w:val="auto"/>
                <w:spacing w:val="-8"/>
                <w:highlight w:val="none"/>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680" w:hRule="atLeast"/>
        </w:trPr>
        <w:tc>
          <w:tcPr>
            <w:tcW w:w="1003" w:type="pct"/>
            <w:gridSpan w:val="3"/>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ascii="宋体" w:hAnsi="宋体" w:eastAsia="宋体" w:cs="宋体"/>
                <w:color w:val="auto"/>
              </w:rPr>
            </w:pPr>
            <w:r>
              <w:rPr>
                <w:rFonts w:hint="eastAsia" w:ascii="宋体" w:hAnsi="宋体" w:eastAsia="宋体" w:cs="宋体"/>
                <w:color w:val="auto"/>
              </w:rPr>
              <w:t>是否开工建设</w:t>
            </w:r>
          </w:p>
        </w:tc>
        <w:tc>
          <w:tcPr>
            <w:tcW w:w="3996" w:type="pct"/>
            <w:gridSpan w:val="3"/>
            <w:vAlign w:val="center"/>
          </w:tcPr>
          <w:p>
            <w:pPr>
              <w:keepNext w:val="0"/>
              <w:keepLines w:val="0"/>
              <w:pageBreakBefore w:val="0"/>
              <w:widowControl w:val="0"/>
              <w:kinsoku/>
              <w:wordWrap/>
              <w:overflowPunct/>
              <w:topLinePunct w:val="0"/>
              <w:bidi w:val="0"/>
              <w:adjustRightInd w:val="0"/>
              <w:snapToGrid w:val="0"/>
              <w:spacing w:line="240" w:lineRule="auto"/>
              <w:ind w:firstLine="105"/>
              <w:jc w:val="left"/>
              <w:textAlignment w:val="auto"/>
              <w:rPr>
                <w:rFonts w:hint="eastAsia" w:ascii="宋体" w:hAnsi="宋体" w:eastAsia="宋体" w:cs="宋体"/>
                <w:color w:val="auto"/>
              </w:rPr>
            </w:pPr>
            <w:r>
              <w:rPr>
                <w:rFonts w:hint="eastAsia" w:ascii="宋体" w:hAnsi="宋体" w:eastAsia="宋体" w:cs="宋体"/>
                <w:color w:val="auto"/>
              </w:rPr>
              <w:sym w:font="Wingdings 2" w:char="0052"/>
            </w:r>
            <w:r>
              <w:rPr>
                <w:rFonts w:hint="eastAsia" w:ascii="宋体" w:hAnsi="宋体" w:eastAsia="宋体" w:cs="宋体"/>
                <w:color w:val="auto"/>
              </w:rPr>
              <w:t>否</w:t>
            </w:r>
          </w:p>
          <w:p>
            <w:pPr>
              <w:keepNext w:val="0"/>
              <w:keepLines w:val="0"/>
              <w:pageBreakBefore w:val="0"/>
              <w:widowControl w:val="0"/>
              <w:kinsoku/>
              <w:wordWrap/>
              <w:overflowPunct/>
              <w:topLinePunct w:val="0"/>
              <w:bidi w:val="0"/>
              <w:adjustRightInd w:val="0"/>
              <w:snapToGrid w:val="0"/>
              <w:spacing w:line="240" w:lineRule="auto"/>
              <w:ind w:firstLine="92"/>
              <w:jc w:val="left"/>
              <w:textAlignment w:val="auto"/>
              <w:rPr>
                <w:rFonts w:hint="eastAsia" w:ascii="宋体" w:hAnsi="宋体" w:eastAsia="宋体" w:cs="宋体"/>
                <w:color w:val="auto"/>
              </w:rPr>
            </w:pPr>
            <w:r>
              <w:rPr>
                <w:rFonts w:hint="eastAsia" w:ascii="宋体" w:hAnsi="宋体" w:eastAsia="宋体" w:cs="宋体"/>
                <w:color w:val="auto"/>
              </w:rPr>
              <w:t>□是：</w:t>
            </w:r>
            <w:r>
              <w:rPr>
                <w:rFonts w:hint="eastAsia" w:ascii="宋体" w:hAnsi="宋体" w:eastAsia="宋体" w:cs="宋体"/>
                <w:color w:val="auto"/>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680" w:hRule="atLeast"/>
        </w:trPr>
        <w:tc>
          <w:tcPr>
            <w:tcW w:w="1003" w:type="pct"/>
            <w:gridSpan w:val="3"/>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color w:val="auto"/>
                <w:kern w:val="0"/>
              </w:rPr>
            </w:pPr>
            <w:r>
              <w:rPr>
                <w:rFonts w:hint="default" w:ascii="Times New Roman" w:hAnsi="Times New Roman" w:cs="Times New Roman"/>
                <w:color w:val="auto"/>
                <w:kern w:val="0"/>
              </w:rPr>
              <w:t>专项评价</w:t>
            </w:r>
          </w:p>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color w:val="auto"/>
              </w:rPr>
            </w:pPr>
            <w:r>
              <w:rPr>
                <w:rFonts w:hint="default" w:ascii="Times New Roman" w:hAnsi="Times New Roman" w:cs="Times New Roman"/>
                <w:color w:val="auto"/>
                <w:kern w:val="0"/>
              </w:rPr>
              <w:t>设置情况</w:t>
            </w:r>
          </w:p>
        </w:tc>
        <w:tc>
          <w:tcPr>
            <w:tcW w:w="3996" w:type="pct"/>
            <w:gridSpan w:val="3"/>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lang w:val="en-US" w:eastAsia="zh-CN"/>
              </w:rPr>
            </w:pPr>
            <w:r>
              <w:rPr>
                <w:rFonts w:hint="eastAsia" w:cs="Times New Roman"/>
                <w:color w:val="auto"/>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680" w:hRule="atLeast"/>
        </w:trPr>
        <w:tc>
          <w:tcPr>
            <w:tcW w:w="1003" w:type="pct"/>
            <w:gridSpan w:val="3"/>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color w:val="auto"/>
              </w:rPr>
            </w:pPr>
            <w:r>
              <w:rPr>
                <w:rFonts w:hint="default" w:ascii="Times New Roman" w:hAnsi="Times New Roman" w:cs="Times New Roman"/>
                <w:color w:val="auto"/>
              </w:rPr>
              <w:t>规划情况</w:t>
            </w:r>
          </w:p>
        </w:tc>
        <w:tc>
          <w:tcPr>
            <w:tcW w:w="3996" w:type="pct"/>
            <w:gridSpan w:val="3"/>
            <w:shd w:val="clear" w:color="auto" w:fill="auto"/>
            <w:vAlign w:val="center"/>
          </w:tcPr>
          <w:p>
            <w:pPr>
              <w:snapToGrid w:val="0"/>
              <w:spacing w:line="400" w:lineRule="exact"/>
              <w:ind w:firstLine="4"/>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t>1、规划名称：</w:t>
            </w:r>
            <w:bookmarkStart w:id="10" w:name="_Hlk143015424"/>
            <w:r>
              <w:rPr>
                <w:rFonts w:hint="default" w:ascii="Times New Roman" w:hAnsi="Times New Roman" w:eastAsia="宋体" w:cs="Times New Roman"/>
                <w:color w:val="auto"/>
                <w:kern w:val="0"/>
              </w:rPr>
              <w:t>《新疆维吾尔自治区矿产资源总体规划（2021</w:t>
            </w:r>
            <w:r>
              <w:rPr>
                <w:rFonts w:hint="default" w:ascii="Times New Roman" w:hAnsi="Times New Roman" w:eastAsia="宋体" w:cs="Times New Roman"/>
                <w:color w:val="auto"/>
                <w:kern w:val="0"/>
                <w:lang w:eastAsia="zh-CN"/>
              </w:rPr>
              <w:t>—</w:t>
            </w:r>
            <w:r>
              <w:rPr>
                <w:rFonts w:hint="default" w:ascii="Times New Roman" w:hAnsi="Times New Roman" w:eastAsia="宋体" w:cs="Times New Roman"/>
                <w:color w:val="auto"/>
                <w:kern w:val="0"/>
              </w:rPr>
              <w:t>2025年）》</w:t>
            </w:r>
            <w:bookmarkEnd w:id="10"/>
            <w:r>
              <w:rPr>
                <w:rFonts w:hint="default" w:ascii="Times New Roman" w:hAnsi="Times New Roman" w:eastAsia="宋体" w:cs="Times New Roman"/>
                <w:color w:val="auto"/>
                <w:kern w:val="0"/>
              </w:rPr>
              <w:t>；</w:t>
            </w:r>
          </w:p>
          <w:p>
            <w:pPr>
              <w:snapToGrid w:val="0"/>
              <w:spacing w:line="400" w:lineRule="exact"/>
              <w:ind w:firstLine="4"/>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t>审批机关：自然资源部；</w:t>
            </w:r>
          </w:p>
          <w:p>
            <w:pPr>
              <w:snapToGrid w:val="0"/>
              <w:spacing w:line="400" w:lineRule="exact"/>
              <w:ind w:firstLine="4"/>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t>审批文号：自然资函〔2022〕1092号；</w:t>
            </w:r>
          </w:p>
          <w:p>
            <w:pPr>
              <w:snapToGrid w:val="0"/>
              <w:spacing w:line="400" w:lineRule="exact"/>
              <w:ind w:firstLine="4"/>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t>2、规划名称：《新疆维吾尔自治区昌吉回族自治州矿产资源总体规划（2021</w:t>
            </w:r>
            <w:r>
              <w:rPr>
                <w:rFonts w:hint="default" w:ascii="Times New Roman" w:hAnsi="Times New Roman" w:eastAsia="宋体" w:cs="Times New Roman"/>
                <w:color w:val="auto"/>
                <w:kern w:val="0"/>
                <w:lang w:eastAsia="zh-CN"/>
              </w:rPr>
              <w:t>—</w:t>
            </w:r>
            <w:r>
              <w:rPr>
                <w:rFonts w:hint="default" w:ascii="Times New Roman" w:hAnsi="Times New Roman" w:eastAsia="宋体" w:cs="Times New Roman"/>
                <w:color w:val="auto"/>
                <w:kern w:val="0"/>
              </w:rPr>
              <w:t>2025年）》；</w:t>
            </w:r>
          </w:p>
          <w:p>
            <w:pPr>
              <w:snapToGrid w:val="0"/>
              <w:spacing w:line="400" w:lineRule="exact"/>
              <w:ind w:firstLine="4"/>
              <w:rPr>
                <w:rFonts w:hint="default" w:ascii="Times New Roman" w:hAnsi="Times New Roman" w:eastAsia="宋体" w:cs="Times New Roman"/>
                <w:color w:val="auto"/>
                <w:kern w:val="0"/>
                <w:lang w:eastAsia="zh-CN"/>
              </w:rPr>
            </w:pPr>
            <w:r>
              <w:rPr>
                <w:rFonts w:hint="default" w:ascii="Times New Roman" w:hAnsi="Times New Roman" w:eastAsia="宋体" w:cs="Times New Roman"/>
                <w:color w:val="auto"/>
                <w:kern w:val="0"/>
              </w:rPr>
              <w:t>规划编制单位：昌吉回族自治州人民政府</w:t>
            </w:r>
            <w:r>
              <w:rPr>
                <w:rFonts w:hint="default" w:ascii="Times New Roman" w:hAnsi="Times New Roman" w:eastAsia="宋体" w:cs="Times New Roman"/>
                <w:color w:val="auto"/>
                <w:kern w:val="0"/>
                <w:lang w:eastAsia="zh-CN"/>
              </w:rPr>
              <w:t>；</w:t>
            </w:r>
          </w:p>
          <w:p>
            <w:pPr>
              <w:spacing w:line="400" w:lineRule="exact"/>
              <w:contextualSpacing/>
              <w:jc w:val="left"/>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t>3、规划名称：《新疆油田公司“十四五”发展规划》；</w:t>
            </w:r>
          </w:p>
          <w:p>
            <w:pPr>
              <w:snapToGrid w:val="0"/>
              <w:spacing w:line="400" w:lineRule="exact"/>
              <w:ind w:firstLine="4"/>
              <w:rPr>
                <w:rFonts w:hint="default" w:ascii="Times New Roman" w:hAnsi="Times New Roman" w:eastAsia="宋体" w:cs="Times New Roman"/>
                <w:color w:val="auto"/>
                <w:kern w:val="0"/>
                <w:lang w:val="en-US" w:eastAsia="zh-CN"/>
              </w:rPr>
            </w:pPr>
            <w:r>
              <w:rPr>
                <w:rFonts w:hint="default" w:ascii="Times New Roman" w:hAnsi="Times New Roman" w:eastAsia="宋体" w:cs="Times New Roman"/>
                <w:color w:val="auto"/>
                <w:kern w:val="0"/>
              </w:rPr>
              <w:t>规划编制单位：中国石油新疆油田分公司开发公司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737" w:hRule="atLeast"/>
        </w:trPr>
        <w:tc>
          <w:tcPr>
            <w:tcW w:w="193" w:type="pct"/>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color w:val="auto"/>
              </w:rPr>
            </w:pPr>
            <w:r>
              <w:rPr>
                <w:rFonts w:hint="default" w:ascii="Times New Roman" w:hAnsi="Times New Roman" w:cs="Times New Roman"/>
                <w:color w:val="auto"/>
              </w:rPr>
              <w:t>规划环境影响</w:t>
            </w:r>
          </w:p>
          <w:p>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color w:val="auto"/>
              </w:rPr>
            </w:pPr>
            <w:r>
              <w:rPr>
                <w:rFonts w:hint="default" w:ascii="Times New Roman" w:hAnsi="Times New Roman" w:cs="Times New Roman"/>
                <w:color w:val="auto"/>
              </w:rPr>
              <w:t>评价情况</w:t>
            </w:r>
          </w:p>
        </w:tc>
        <w:tc>
          <w:tcPr>
            <w:tcW w:w="4806" w:type="pct"/>
            <w:gridSpan w:val="5"/>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kern w:val="0"/>
              </w:rPr>
              <w:t>1、</w:t>
            </w:r>
            <w:r>
              <w:rPr>
                <w:rFonts w:hint="default" w:ascii="Times New Roman" w:hAnsi="Times New Roman" w:eastAsia="宋体" w:cs="Times New Roman"/>
                <w:color w:val="auto"/>
              </w:rPr>
              <w:t>文件名称：《新疆维吾尔自治区矿产资源总体规划</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2021</w:t>
            </w:r>
            <w:r>
              <w:rPr>
                <w:rFonts w:hint="default" w:ascii="Times New Roman" w:hAnsi="Times New Roman" w:cs="Times New Roman"/>
                <w:color w:val="auto"/>
                <w:lang w:val="en-US" w:eastAsia="zh-CN"/>
              </w:rPr>
              <w:t>—</w:t>
            </w:r>
            <w:r>
              <w:rPr>
                <w:rFonts w:hint="default" w:ascii="Times New Roman" w:hAnsi="Times New Roman" w:eastAsia="宋体" w:cs="Times New Roman"/>
                <w:color w:val="auto"/>
                <w:lang w:val="en-US" w:eastAsia="zh-CN"/>
              </w:rPr>
              <w:t>2025年</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环境影响报告书》；</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审查机关：</w:t>
            </w:r>
            <w:r>
              <w:rPr>
                <w:rFonts w:hint="default" w:ascii="Times New Roman" w:hAnsi="Times New Roman" w:eastAsia="宋体" w:cs="Times New Roman"/>
                <w:color w:val="auto"/>
                <w:lang w:val="en-US" w:eastAsia="zh-CN"/>
              </w:rPr>
              <w:t>生态环境部</w:t>
            </w:r>
            <w:r>
              <w:rPr>
                <w:rFonts w:hint="default" w:ascii="Times New Roman" w:hAnsi="Times New Roman" w:eastAsia="宋体" w:cs="Times New Roman"/>
                <w:color w:val="auto"/>
              </w:rPr>
              <w:t>；</w:t>
            </w:r>
          </w:p>
          <w:p>
            <w:pPr>
              <w:pStyle w:val="57"/>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审查文件名称及文号：</w:t>
            </w:r>
            <w:r>
              <w:rPr>
                <w:rFonts w:hint="default" w:ascii="Times New Roman" w:hAnsi="Times New Roman" w:eastAsia="宋体" w:cs="Times New Roman"/>
                <w:color w:val="auto"/>
                <w:lang w:val="en-US" w:eastAsia="zh-CN"/>
              </w:rPr>
              <w:t>关于《新疆维吾尔自治区矿产资源总体规划（2021</w:t>
            </w:r>
            <w:r>
              <w:rPr>
                <w:rFonts w:hint="default" w:ascii="Times New Roman" w:hAnsi="Times New Roman" w:cs="Times New Roman"/>
                <w:color w:val="auto"/>
                <w:lang w:val="en-US" w:eastAsia="zh-CN"/>
              </w:rPr>
              <w:t>—</w:t>
            </w:r>
            <w:r>
              <w:rPr>
                <w:rFonts w:hint="default" w:ascii="Times New Roman" w:hAnsi="Times New Roman" w:eastAsia="宋体" w:cs="Times New Roman"/>
                <w:color w:val="auto"/>
                <w:lang w:val="en-US" w:eastAsia="zh-CN"/>
              </w:rPr>
              <w:t>2025年）环境影响报告书》的审查意见，环审〔2022〕</w:t>
            </w:r>
            <w:r>
              <w:rPr>
                <w:rFonts w:hint="default" w:ascii="Times New Roman" w:hAnsi="Times New Roman" w:cs="Times New Roman"/>
                <w:color w:val="auto"/>
                <w:lang w:val="en-US" w:eastAsia="zh-CN"/>
              </w:rPr>
              <w:t>124</w:t>
            </w:r>
            <w:r>
              <w:rPr>
                <w:rFonts w:hint="default" w:ascii="Times New Roman" w:hAnsi="Times New Roman" w:eastAsia="宋体" w:cs="Times New Roman"/>
                <w:color w:val="auto"/>
                <w:lang w:val="en-US" w:eastAsia="zh-CN"/>
              </w:rPr>
              <w:t>号</w:t>
            </w:r>
          </w:p>
          <w:p>
            <w:pPr>
              <w:snapToGrid w:val="0"/>
              <w:spacing w:line="360" w:lineRule="auto"/>
              <w:ind w:firstLine="4"/>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t>2、环评文件名称：《新疆维吾尔自治区昌吉回族自治州矿产资源总体规划（2021—2025年）环境影响报告书》；</w:t>
            </w:r>
          </w:p>
          <w:p>
            <w:pPr>
              <w:snapToGrid w:val="0"/>
              <w:spacing w:line="360" w:lineRule="auto"/>
              <w:ind w:firstLine="4"/>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t>审查机关：昌吉回族自治州生态环境局；</w:t>
            </w:r>
          </w:p>
          <w:p>
            <w:pPr>
              <w:snapToGrid w:val="0"/>
              <w:spacing w:line="360" w:lineRule="auto"/>
              <w:ind w:firstLine="4"/>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t>审查文件名称及文号：关于《新疆维吾尔自治区昌吉回族自治州矿产资源总体规划（2021—2025年）环境影响报告书》的审查意见（昌州环函〔2023〕40号）。</w:t>
            </w:r>
          </w:p>
          <w:p>
            <w:pPr>
              <w:snapToGrid w:val="0"/>
              <w:spacing w:line="360" w:lineRule="auto"/>
              <w:ind w:firstLine="4"/>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lang w:val="en-US" w:eastAsia="zh-CN"/>
              </w:rPr>
              <w:t>3</w:t>
            </w:r>
            <w:r>
              <w:rPr>
                <w:rFonts w:hint="default" w:ascii="Times New Roman" w:hAnsi="Times New Roman" w:eastAsia="宋体" w:cs="Times New Roman"/>
                <w:color w:val="auto"/>
                <w:kern w:val="0"/>
              </w:rPr>
              <w:t>、环评文件名称：《新疆油田公司“十四五”发展规划环境影响报告书》；</w:t>
            </w:r>
          </w:p>
          <w:p>
            <w:pPr>
              <w:snapToGrid w:val="0"/>
              <w:spacing w:line="360" w:lineRule="auto"/>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t>审查机关：新疆维吾尔自治区生态环境厅；</w:t>
            </w:r>
          </w:p>
          <w:p>
            <w:pPr>
              <w:pStyle w:val="57"/>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kern w:val="0"/>
              </w:rPr>
              <w:t>审查文件名称及文号：关于《新疆油田公司“十四五”发展规划环境影响报告书》的审查意见（新环审〔2022〕252号）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1049" w:hRule="atLeast"/>
        </w:trPr>
        <w:tc>
          <w:tcPr>
            <w:tcW w:w="193" w:type="pct"/>
            <w:vAlign w:val="center"/>
          </w:tcPr>
          <w:p>
            <w:pPr>
              <w:autoSpaceDE w:val="0"/>
              <w:autoSpaceDN w:val="0"/>
              <w:adjustRightInd w:val="0"/>
              <w:snapToGrid w:val="0"/>
              <w:spacing w:line="300" w:lineRule="exact"/>
              <w:jc w:val="center"/>
              <w:rPr>
                <w:rFonts w:hint="default" w:ascii="Times New Roman" w:hAnsi="Times New Roman" w:cs="Times New Roman"/>
                <w:color w:val="auto"/>
                <w:kern w:val="0"/>
              </w:rPr>
            </w:pPr>
            <w:r>
              <w:rPr>
                <w:rFonts w:hint="default" w:ascii="Times New Roman" w:hAnsi="Times New Roman" w:cs="Times New Roman"/>
                <w:color w:val="auto"/>
                <w:kern w:val="0"/>
              </w:rPr>
              <w:t>规划及</w:t>
            </w:r>
            <w:r>
              <w:rPr>
                <w:rFonts w:hint="default" w:ascii="Times New Roman" w:hAnsi="Times New Roman" w:cs="Times New Roman"/>
                <w:color w:val="auto"/>
              </w:rPr>
              <w:t>规划环境影响评价</w:t>
            </w:r>
            <w:r>
              <w:rPr>
                <w:rFonts w:hint="default" w:ascii="Times New Roman" w:hAnsi="Times New Roman" w:cs="Times New Roman"/>
                <w:color w:val="auto"/>
                <w:kern w:val="0"/>
              </w:rPr>
              <w:t>符合性分析</w:t>
            </w:r>
          </w:p>
        </w:tc>
        <w:tc>
          <w:tcPr>
            <w:tcW w:w="4806" w:type="pct"/>
            <w:gridSpan w:val="5"/>
            <w:vAlign w:val="center"/>
          </w:tcPr>
          <w:p>
            <w:pPr>
              <w:pStyle w:val="54"/>
              <w:bidi w:val="0"/>
              <w:ind w:left="9" w:leftChars="0" w:firstLineChars="0"/>
              <w:rPr>
                <w:rFonts w:hint="eastAsia"/>
                <w:b/>
                <w:color w:val="auto"/>
                <w:sz w:val="24"/>
                <w:lang w:val="en-US" w:eastAsia="en-US"/>
              </w:rPr>
            </w:pPr>
            <w:r>
              <w:rPr>
                <w:rFonts w:hint="eastAsia"/>
                <w:b/>
                <w:color w:val="auto"/>
                <w:sz w:val="24"/>
                <w:lang w:val="en-US" w:eastAsia="en-US"/>
              </w:rPr>
              <w:t>与《新疆维吾尔自治区矿产资源总体规划</w:t>
            </w:r>
            <w:r>
              <w:rPr>
                <w:rFonts w:hint="eastAsia" w:ascii="Times New Roman" w:eastAsia="宋体"/>
                <w:b/>
                <w:color w:val="auto"/>
                <w:sz w:val="24"/>
                <w:lang w:val="en-US" w:eastAsia="en-US"/>
              </w:rPr>
              <w:t>（2021</w:t>
            </w:r>
            <w:r>
              <w:rPr>
                <w:rFonts w:hint="eastAsia"/>
                <w:b/>
                <w:color w:val="auto"/>
                <w:sz w:val="24"/>
                <w:lang w:val="en-US" w:eastAsia="zh-CN"/>
              </w:rPr>
              <w:t>—</w:t>
            </w:r>
            <w:r>
              <w:rPr>
                <w:rFonts w:hint="eastAsia" w:ascii="Times New Roman" w:eastAsia="宋体"/>
                <w:b/>
                <w:color w:val="auto"/>
                <w:sz w:val="24"/>
                <w:lang w:val="en-US" w:eastAsia="en-US"/>
              </w:rPr>
              <w:t>2025</w:t>
            </w:r>
            <w:r>
              <w:rPr>
                <w:rFonts w:hint="eastAsia"/>
                <w:b/>
                <w:color w:val="auto"/>
                <w:sz w:val="24"/>
                <w:lang w:val="en-US" w:eastAsia="zh-CN"/>
              </w:rPr>
              <w:t>年</w:t>
            </w:r>
            <w:r>
              <w:rPr>
                <w:rFonts w:hint="eastAsia" w:ascii="Times New Roman" w:eastAsia="宋体"/>
                <w:b/>
                <w:color w:val="auto"/>
                <w:sz w:val="24"/>
                <w:lang w:val="en-US" w:eastAsia="en-US"/>
              </w:rPr>
              <w:t>）</w:t>
            </w:r>
            <w:r>
              <w:rPr>
                <w:rFonts w:hint="eastAsia"/>
                <w:b/>
                <w:color w:val="auto"/>
                <w:sz w:val="24"/>
                <w:lang w:val="en-US" w:eastAsia="en-US"/>
              </w:rPr>
              <w:t>》</w:t>
            </w:r>
            <w:r>
              <w:rPr>
                <w:rFonts w:hint="eastAsia"/>
                <w:b/>
                <w:color w:val="auto"/>
                <w:sz w:val="24"/>
                <w:lang w:val="en-US" w:eastAsia="zh-CN"/>
              </w:rPr>
              <w:t>及规划环评</w:t>
            </w:r>
            <w:r>
              <w:rPr>
                <w:rFonts w:hint="eastAsia"/>
                <w:b/>
                <w:color w:val="auto"/>
                <w:sz w:val="24"/>
                <w:lang w:val="en-US" w:eastAsia="en-US"/>
              </w:rPr>
              <w:t>符合性分析</w:t>
            </w:r>
          </w:p>
          <w:p>
            <w:pPr>
              <w:pStyle w:val="10"/>
              <w:bidi w:val="0"/>
              <w:rPr>
                <w:rFonts w:hint="eastAsia"/>
                <w:color w:val="auto"/>
                <w:lang w:val="en-US" w:eastAsia="en-US"/>
              </w:rPr>
            </w:pPr>
            <w:r>
              <w:rPr>
                <w:rFonts w:hint="eastAsia"/>
                <w:color w:val="auto"/>
                <w:lang w:val="en-US" w:eastAsia="en-US"/>
              </w:rPr>
              <w:t>《规划》依据新疆维吾尔自治区矿产资源分布特点及勘查开发利用现状，按照“深化北疆东疆，加快南疆勘查开发”的总体思路，划分为环准噶尔、环塔里木、阿尔泰、东准噶尔、西准噶尔、东天山、西天山、西南天山、西昆仑、东昆仑－阿尔金十个勘查开发区，将石油、天然气列为重点勘查开采矿种。其中，环准噶尔能源资源勘查开发区主要包括阿勒泰地区南部、昌吉回族自治州、塔城地区东部山前及沙漠腹地。</w:t>
            </w:r>
          </w:p>
          <w:p>
            <w:pPr>
              <w:pStyle w:val="10"/>
              <w:bidi w:val="0"/>
              <w:rPr>
                <w:rFonts w:hint="default" w:ascii="Times New Roman" w:hAnsi="Times New Roman" w:eastAsia="宋体" w:cs="Times New Roman"/>
                <w:color w:val="auto"/>
                <w:kern w:val="0"/>
                <w:sz w:val="24"/>
                <w:szCs w:val="24"/>
                <w:lang w:val="en-US" w:eastAsia="en-US" w:bidi="ar-SA"/>
              </w:rPr>
            </w:pPr>
            <w:r>
              <w:rPr>
                <w:rFonts w:hint="default" w:ascii="Times New Roman" w:hAnsi="Times New Roman" w:eastAsia="宋体" w:cs="Times New Roman"/>
                <w:color w:val="auto"/>
                <w:kern w:val="0"/>
                <w:sz w:val="24"/>
                <w:szCs w:val="24"/>
                <w:lang w:val="en-US" w:eastAsia="en-US" w:bidi="ar-SA"/>
              </w:rPr>
              <w:t>项目</w:t>
            </w:r>
            <w:r>
              <w:rPr>
                <w:rFonts w:hint="eastAsia" w:cs="Times New Roman"/>
                <w:color w:val="auto"/>
                <w:kern w:val="0"/>
                <w:sz w:val="24"/>
                <w:szCs w:val="24"/>
                <w:lang w:val="en-US" w:eastAsia="zh-CN" w:bidi="ar-SA"/>
              </w:rPr>
              <w:t>位于</w:t>
            </w:r>
            <w:r>
              <w:rPr>
                <w:rFonts w:hint="eastAsia" w:ascii="Times New Roman" w:eastAsia="宋体"/>
                <w:color w:val="auto"/>
                <w:lang w:val="en-US" w:eastAsia="en-US"/>
              </w:rPr>
              <w:t>昌吉回族自治州</w:t>
            </w:r>
            <w:r>
              <w:rPr>
                <w:rFonts w:hint="eastAsia"/>
                <w:color w:val="auto"/>
                <w:lang w:val="en-US" w:eastAsia="zh-CN"/>
              </w:rPr>
              <w:t>，属于</w:t>
            </w:r>
            <w:r>
              <w:rPr>
                <w:rFonts w:hint="default" w:ascii="Times New Roman" w:hAnsi="Times New Roman" w:eastAsia="宋体" w:cs="Times New Roman"/>
                <w:color w:val="auto"/>
                <w:kern w:val="0"/>
                <w:sz w:val="24"/>
                <w:szCs w:val="24"/>
                <w:lang w:val="en-US" w:eastAsia="en-US" w:bidi="ar-SA"/>
              </w:rPr>
              <w:t>“‘两环八带’十个勘查开发区”中的环准噶尔能源矿产勘查开发区，符合规划要求。</w:t>
            </w:r>
          </w:p>
          <w:p>
            <w:pPr>
              <w:pStyle w:val="10"/>
              <w:bidi w:val="0"/>
              <w:rPr>
                <w:rFonts w:hint="eastAsia" w:ascii="宋体" w:hAnsi="宋体" w:eastAsia="宋体" w:cs="宋体"/>
                <w:color w:val="auto"/>
                <w:kern w:val="2"/>
                <w:sz w:val="24"/>
                <w:szCs w:val="24"/>
                <w:lang w:val="en-US" w:eastAsia="en-US" w:bidi="ar-SA"/>
              </w:rPr>
            </w:pPr>
            <w:r>
              <w:rPr>
                <w:rFonts w:hint="eastAsia" w:ascii="宋体" w:hAnsi="宋体" w:eastAsia="宋体" w:cs="宋体"/>
                <w:color w:val="auto"/>
                <w:kern w:val="2"/>
                <w:sz w:val="24"/>
                <w:szCs w:val="24"/>
                <w:lang w:val="en-US" w:eastAsia="en-US" w:bidi="ar-SA"/>
              </w:rPr>
              <w:t>规划环评提出</w:t>
            </w:r>
            <w:r>
              <w:rPr>
                <w:rFonts w:hint="eastAsia" w:ascii="宋体" w:hAnsi="宋体" w:eastAsia="宋体" w:cs="宋体"/>
                <w:color w:val="auto"/>
                <w:kern w:val="2"/>
                <w:sz w:val="24"/>
                <w:szCs w:val="24"/>
                <w:lang w:val="en-US" w:eastAsia="zh-CN" w:bidi="ar-SA"/>
              </w:rPr>
              <w:t>：</w:t>
            </w:r>
            <w:r>
              <w:rPr>
                <w:rFonts w:hint="eastAsia" w:ascii="宋体" w:hAnsi="宋体" w:eastAsia="宋体" w:cs="宋体"/>
                <w:color w:val="auto"/>
                <w:kern w:val="2"/>
                <w:sz w:val="24"/>
                <w:szCs w:val="24"/>
                <w:lang w:val="en-US" w:eastAsia="en-US" w:bidi="ar-SA"/>
              </w:rPr>
              <w:t>合理控制矿产资源开发规模与强度，优先避让生态敏感区（如自然保护区、水源地等），不得占用禁止开发区域。实施污染物达标排放，落实“三同时”制度（污染防治设施与主体工程同时设计、施工、投产）。加强废水、固废、废气治理，推广清洁生产技术。对开发活动造成的生态破坏采取有效恢复措施，减少土地沙化与水土流失。</w:t>
            </w:r>
          </w:p>
          <w:p>
            <w:pPr>
              <w:pStyle w:val="10"/>
              <w:bidi w:val="0"/>
              <w:rPr>
                <w:rFonts w:hint="eastAsia" w:ascii="宋体" w:hAnsi="宋体" w:eastAsia="宋体" w:cs="宋体"/>
                <w:color w:val="auto"/>
                <w:kern w:val="2"/>
                <w:sz w:val="24"/>
                <w:szCs w:val="24"/>
                <w:lang w:val="en-US" w:eastAsia="en-US" w:bidi="ar-SA"/>
              </w:rPr>
            </w:pPr>
            <w:r>
              <w:rPr>
                <w:rFonts w:hint="eastAsia" w:ascii="宋体" w:hAnsi="宋体" w:cs="宋体"/>
                <w:color w:val="auto"/>
              </w:rPr>
              <w:t>项目占地范围内不涉及依法划定的自然保护区、饮用水源保护区、风景名胜区、森林公园及其他需要特别保护的环境敏感区；严格按照绿色矿山的开发要求，采取严格的生态保护和修复措施。</w:t>
            </w:r>
            <w:r>
              <w:rPr>
                <w:rFonts w:hint="eastAsia" w:ascii="宋体" w:hAnsi="宋体" w:cs="宋体"/>
                <w:color w:val="auto"/>
                <w:kern w:val="2"/>
                <w:sz w:val="24"/>
                <w:szCs w:val="24"/>
                <w:lang w:val="en-US" w:eastAsia="zh-CN" w:bidi="ar-SA"/>
              </w:rPr>
              <w:t>本次环评对项目</w:t>
            </w:r>
            <w:r>
              <w:rPr>
                <w:rFonts w:hint="eastAsia" w:ascii="宋体" w:hAnsi="宋体" w:eastAsia="宋体" w:cs="宋体"/>
                <w:color w:val="auto"/>
                <w:kern w:val="2"/>
                <w:sz w:val="24"/>
                <w:szCs w:val="24"/>
                <w:lang w:val="en-US" w:eastAsia="en-US" w:bidi="ar-SA"/>
              </w:rPr>
              <w:t>“三废”、噪声及生态影响均提出了相应的治理或减缓措施，</w:t>
            </w:r>
            <w:r>
              <w:rPr>
                <w:rFonts w:hint="eastAsia" w:ascii="宋体" w:hAnsi="宋体" w:cs="宋体"/>
                <w:color w:val="auto"/>
                <w:kern w:val="2"/>
                <w:sz w:val="24"/>
                <w:szCs w:val="24"/>
                <w:lang w:val="en-US" w:eastAsia="zh-CN" w:bidi="ar-SA"/>
              </w:rPr>
              <w:t>采取措施后污染物可达标排放或得到妥善处置</w:t>
            </w:r>
            <w:r>
              <w:rPr>
                <w:rFonts w:hint="eastAsia" w:ascii="宋体" w:hAnsi="宋体" w:eastAsia="宋体" w:cs="宋体"/>
                <w:color w:val="auto"/>
                <w:kern w:val="2"/>
                <w:sz w:val="24"/>
                <w:szCs w:val="24"/>
                <w:lang w:val="en-US" w:eastAsia="en-US" w:bidi="ar-SA"/>
              </w:rPr>
              <w:t>。符合规划环评相关要求。</w:t>
            </w:r>
          </w:p>
          <w:p>
            <w:pPr>
              <w:pStyle w:val="54"/>
              <w:bidi w:val="0"/>
              <w:ind w:left="9" w:leftChars="0" w:firstLineChars="0"/>
              <w:rPr>
                <w:rFonts w:hint="eastAsia" w:ascii="宋体" w:hAnsi="宋体" w:eastAsia="宋体" w:cs="Times New Roman"/>
                <w:b/>
                <w:bCs/>
                <w:color w:val="auto"/>
              </w:rPr>
            </w:pPr>
            <w:r>
              <w:rPr>
                <w:rFonts w:hint="eastAsia" w:ascii="宋体" w:hAnsi="宋体" w:eastAsia="宋体" w:cs="Times New Roman"/>
                <w:b/>
                <w:bCs/>
                <w:color w:val="auto"/>
              </w:rPr>
              <w:t>与《新疆维吾尔自治区昌吉回族自治州矿产资源总体规划（2021—2025年）》及规划环评的符合性分析</w:t>
            </w:r>
          </w:p>
          <w:p>
            <w:pPr>
              <w:pStyle w:val="10"/>
              <w:bidi w:val="0"/>
              <w:rPr>
                <w:rFonts w:hint="eastAsia"/>
                <w:color w:val="auto"/>
                <w:lang w:val="en-US" w:eastAsia="zh-CN"/>
              </w:rPr>
            </w:pPr>
            <w:r>
              <w:rPr>
                <w:rFonts w:hint="eastAsia"/>
                <w:color w:val="auto"/>
                <w:lang w:val="en-US" w:eastAsia="zh-CN"/>
              </w:rPr>
              <w:t>《规划》将石油、天然气列</w:t>
            </w:r>
            <w:r>
              <w:rPr>
                <w:rFonts w:hint="eastAsia"/>
                <w:color w:val="auto"/>
                <w:highlight w:val="none"/>
                <w:lang w:val="en-US" w:eastAsia="zh-CN"/>
              </w:rPr>
              <w:t>为鼓励勘查开采的</w:t>
            </w:r>
            <w:r>
              <w:rPr>
                <w:rFonts w:hint="eastAsia"/>
                <w:color w:val="auto"/>
                <w:lang w:val="en-US" w:eastAsia="zh-CN"/>
              </w:rPr>
              <w:t>矿种。以油气、煤、地热、硅质原料、饰面石材等矿产资源勘查开发为主，重点加强准噶尔南缘、准东冲断带等地区石油、天然气、页岩气等常规能源勘查，有序开发准东、准南等地区煤炭、煤层气资源，延伸煤炭产业链，推进煤电煤化工一体化等综合资源开发，助力天山北坡城市群经济高质量发展。本项目位于环准噶尔能源矿产勘查开发区，符合规划相关要求。项目占地范围内不涉及</w:t>
            </w:r>
            <w:r>
              <w:rPr>
                <w:color w:val="auto"/>
                <w:lang w:val="en-US" w:eastAsia="zh-CN"/>
              </w:rPr>
              <w:t>自然保护区、水源保护区、风景名胜区、城市规划区、居民密集区、重要水工设施、高速公路、铁路、</w:t>
            </w:r>
            <w:r>
              <w:rPr>
                <w:rFonts w:hint="eastAsia"/>
                <w:color w:val="auto"/>
                <w:lang w:val="en-US" w:eastAsia="zh-CN"/>
              </w:rPr>
              <w:t>永久</w:t>
            </w:r>
            <w:r>
              <w:rPr>
                <w:color w:val="auto"/>
                <w:lang w:val="en-US" w:eastAsia="zh-CN"/>
              </w:rPr>
              <w:t>基本农田等</w:t>
            </w:r>
            <w:r>
              <w:rPr>
                <w:rFonts w:hint="eastAsia"/>
                <w:color w:val="auto"/>
                <w:lang w:val="en-US" w:eastAsia="zh-CN"/>
              </w:rPr>
              <w:t>；施工期采取了严格的生态保护和修复措施。施工期产生的“三废”、噪声及生态影响均提出了相应的治理或减缓措施，符合规划环评的相关要求。</w:t>
            </w:r>
          </w:p>
          <w:p>
            <w:pPr>
              <w:pStyle w:val="54"/>
              <w:bidi w:val="0"/>
              <w:ind w:left="9" w:leftChars="0" w:firstLineChars="0"/>
              <w:rPr>
                <w:rFonts w:hint="eastAsia"/>
                <w:color w:val="auto"/>
                <w:lang w:val="en-US" w:eastAsia="zh-CN"/>
              </w:rPr>
            </w:pPr>
            <w:r>
              <w:rPr>
                <w:rFonts w:hint="eastAsia"/>
                <w:color w:val="auto"/>
                <w:lang w:val="en-US" w:eastAsia="zh-CN"/>
              </w:rPr>
              <w:t>与《新疆油田公司“十四五”发展规划》及规划环评的符合性分析</w:t>
            </w:r>
          </w:p>
          <w:p>
            <w:pPr>
              <w:pStyle w:val="10"/>
              <w:bidi w:val="0"/>
              <w:rPr>
                <w:rFonts w:hint="eastAsia"/>
                <w:color w:val="auto"/>
                <w:lang w:val="en-US" w:eastAsia="zh-CN"/>
              </w:rPr>
            </w:pPr>
            <w:r>
              <w:rPr>
                <w:rFonts w:hint="eastAsia" w:ascii="宋体" w:hAnsi="宋体" w:cs="宋体"/>
                <w:color w:val="auto"/>
                <w:kern w:val="0"/>
                <w:lang w:eastAsia="zh-CN"/>
              </w:rPr>
              <w:t>本项目为大港油田分公司通过矿权流转从新疆油田公司获得的勘探权，故需符合新疆油田公司相关规划。</w:t>
            </w:r>
            <w:r>
              <w:rPr>
                <w:rFonts w:hint="eastAsia"/>
                <w:color w:val="auto"/>
                <w:lang w:val="en-US" w:eastAsia="zh-CN"/>
              </w:rPr>
              <w:t>项目部署的评价井位于《新疆油田公司“十四五”发展规划》中的腹部片区，符合规划要求。规划环评要求对产生的污染物采取相应的治理措施，对实施过程中产生的生态影响采取有效的减缓措施。本项目属于陆地石油勘探，对施工期产生的“三废”、噪声及生态影响均提出了相应的治理或减缓措施，符合规划及规划环评结论及审查意见相关要求。具体分析如下：</w:t>
            </w:r>
          </w:p>
          <w:p>
            <w:pPr>
              <w:pStyle w:val="10"/>
              <w:bidi w:val="0"/>
              <w:spacing w:line="240" w:lineRule="auto"/>
              <w:rPr>
                <w:rFonts w:hint="eastAsia"/>
                <w:color w:val="auto"/>
                <w:lang w:val="en-US" w:eastAsia="zh-CN"/>
              </w:rPr>
            </w:pPr>
          </w:p>
          <w:p>
            <w:pPr>
              <w:pStyle w:val="10"/>
              <w:bidi w:val="0"/>
              <w:spacing w:line="240" w:lineRule="auto"/>
              <w:rPr>
                <w:rFonts w:hint="eastAsia"/>
                <w:color w:val="auto"/>
                <w:lang w:val="en-US" w:eastAsia="zh-CN"/>
              </w:rPr>
            </w:pPr>
          </w:p>
          <w:p>
            <w:pPr>
              <w:pStyle w:val="10"/>
              <w:bidi w:val="0"/>
              <w:spacing w:line="240" w:lineRule="auto"/>
              <w:rPr>
                <w:rFonts w:hint="eastAsia"/>
                <w:color w:val="auto"/>
                <w:lang w:val="en-US" w:eastAsia="zh-CN"/>
              </w:rPr>
            </w:pPr>
          </w:p>
          <w:p>
            <w:pPr>
              <w:pStyle w:val="10"/>
              <w:bidi w:val="0"/>
              <w:spacing w:line="240" w:lineRule="auto"/>
              <w:rPr>
                <w:rFonts w:hint="eastAsia"/>
                <w:color w:val="auto"/>
                <w:lang w:val="en-US" w:eastAsia="zh-CN"/>
              </w:rPr>
            </w:pPr>
          </w:p>
          <w:p>
            <w:pPr>
              <w:pStyle w:val="10"/>
              <w:bidi w:val="0"/>
              <w:spacing w:line="240" w:lineRule="auto"/>
              <w:rPr>
                <w:rFonts w:hint="eastAsia"/>
                <w:color w:val="auto"/>
                <w:lang w:val="en-US" w:eastAsia="zh-CN"/>
              </w:rPr>
            </w:pPr>
          </w:p>
          <w:p>
            <w:pPr>
              <w:pStyle w:val="56"/>
              <w:bidi w:val="0"/>
              <w:spacing w:line="240" w:lineRule="auto"/>
              <w:rPr>
                <w:rFonts w:hint="eastAsia"/>
                <w:color w:val="auto"/>
              </w:rPr>
            </w:pPr>
            <w:bookmarkStart w:id="11" w:name="OLE_LINK38"/>
            <w:r>
              <w:rPr>
                <w:rFonts w:hint="eastAsia"/>
                <w:color w:val="auto"/>
              </w:rPr>
              <w:t>表</w:t>
            </w:r>
            <w:r>
              <w:rPr>
                <w:rFonts w:hint="eastAsia"/>
                <w:color w:val="auto"/>
                <w:lang w:val="en-US" w:eastAsia="zh-CN"/>
              </w:rPr>
              <w:t xml:space="preserve">1-1 </w:t>
            </w:r>
            <w:bookmarkEnd w:id="11"/>
            <w:r>
              <w:rPr>
                <w:rFonts w:hint="eastAsia"/>
                <w:color w:val="auto"/>
              </w:rPr>
              <w:t>与《新疆油田公司“十四五”发展规划环境影响报告书》</w:t>
            </w:r>
          </w:p>
          <w:p>
            <w:pPr>
              <w:pStyle w:val="56"/>
              <w:bidi w:val="0"/>
              <w:spacing w:line="240" w:lineRule="auto"/>
              <w:rPr>
                <w:rFonts w:hint="eastAsia"/>
                <w:color w:val="auto"/>
              </w:rPr>
            </w:pPr>
            <w:r>
              <w:rPr>
                <w:rFonts w:hint="eastAsia"/>
                <w:color w:val="auto"/>
              </w:rPr>
              <w:t>污染防治措施符合性分析</w:t>
            </w:r>
          </w:p>
          <w:tbl>
            <w:tblPr>
              <w:tblStyle w:val="2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39"/>
              <w:gridCol w:w="3656"/>
              <w:gridCol w:w="3541"/>
              <w:gridCol w:w="65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1" w:type="pct"/>
                  <w:tcBorders>
                    <w:top w:val="single" w:color="auto" w:sz="12" w:space="0"/>
                    <w:left w:val="nil"/>
                    <w:bottom w:val="single" w:color="auto" w:sz="4" w:space="0"/>
                    <w:right w:val="single" w:color="auto" w:sz="4" w:space="0"/>
                  </w:tcBorders>
                  <w:tcMar>
                    <w:top w:w="0" w:type="dxa"/>
                    <w:left w:w="0" w:type="dxa"/>
                    <w:bottom w:w="0" w:type="dxa"/>
                    <w:right w:w="0" w:type="dxa"/>
                  </w:tcMar>
                  <w:vAlign w:val="center"/>
                </w:tcPr>
                <w:p>
                  <w:pPr>
                    <w:widowControl/>
                    <w:adjustRightInd w:val="0"/>
                    <w:snapToGrid w:val="0"/>
                    <w:spacing w:line="300" w:lineRule="exact"/>
                    <w:contextualSpacing/>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序号</w:t>
                  </w:r>
                </w:p>
              </w:tc>
              <w:tc>
                <w:tcPr>
                  <w:tcW w:w="2177" w:type="pct"/>
                  <w:tcBorders>
                    <w:top w:val="single" w:color="auto" w:sz="12" w:space="0"/>
                    <w:left w:val="single" w:color="auto" w:sz="4" w:space="0"/>
                    <w:bottom w:val="single" w:color="auto" w:sz="4" w:space="0"/>
                    <w:right w:val="single" w:color="auto" w:sz="4" w:space="0"/>
                  </w:tcBorders>
                  <w:tcMar>
                    <w:top w:w="0" w:type="dxa"/>
                    <w:left w:w="0" w:type="dxa"/>
                    <w:bottom w:w="0" w:type="dxa"/>
                    <w:right w:w="0" w:type="dxa"/>
                  </w:tcMar>
                  <w:vAlign w:val="center"/>
                </w:tcPr>
                <w:p>
                  <w:pPr>
                    <w:widowControl/>
                    <w:adjustRightInd w:val="0"/>
                    <w:snapToGrid w:val="0"/>
                    <w:spacing w:line="300" w:lineRule="exact"/>
                    <w:contextualSpacing/>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规划环评规定</w:t>
                  </w:r>
                </w:p>
              </w:tc>
              <w:tc>
                <w:tcPr>
                  <w:tcW w:w="2109" w:type="pct"/>
                  <w:tcBorders>
                    <w:top w:val="single" w:color="auto" w:sz="12" w:space="0"/>
                    <w:left w:val="single" w:color="auto" w:sz="4" w:space="0"/>
                    <w:bottom w:val="single" w:color="auto" w:sz="4" w:space="0"/>
                    <w:right w:val="single" w:color="auto" w:sz="4" w:space="0"/>
                  </w:tcBorders>
                  <w:tcMar>
                    <w:top w:w="0" w:type="dxa"/>
                    <w:left w:w="0" w:type="dxa"/>
                    <w:bottom w:w="0" w:type="dxa"/>
                    <w:right w:w="0" w:type="dxa"/>
                  </w:tcMar>
                  <w:vAlign w:val="center"/>
                </w:tcPr>
                <w:p>
                  <w:pPr>
                    <w:widowControl/>
                    <w:adjustRightInd w:val="0"/>
                    <w:snapToGrid w:val="0"/>
                    <w:spacing w:line="300" w:lineRule="exact"/>
                    <w:contextualSpacing/>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拟采取的相关措施</w:t>
                  </w:r>
                </w:p>
              </w:tc>
              <w:tc>
                <w:tcPr>
                  <w:tcW w:w="391" w:type="pct"/>
                  <w:tcBorders>
                    <w:top w:val="single" w:color="auto" w:sz="12" w:space="0"/>
                    <w:left w:val="single" w:color="auto" w:sz="4" w:space="0"/>
                    <w:bottom w:val="single" w:color="auto" w:sz="4" w:space="0"/>
                    <w:right w:val="nil"/>
                  </w:tcBorders>
                  <w:tcMar>
                    <w:top w:w="0" w:type="dxa"/>
                    <w:left w:w="0" w:type="dxa"/>
                    <w:bottom w:w="0" w:type="dxa"/>
                    <w:right w:w="0" w:type="dxa"/>
                  </w:tcMar>
                  <w:vAlign w:val="center"/>
                </w:tcPr>
                <w:p>
                  <w:pPr>
                    <w:widowControl/>
                    <w:adjustRightInd w:val="0"/>
                    <w:snapToGrid w:val="0"/>
                    <w:spacing w:line="300" w:lineRule="exact"/>
                    <w:contextualSpacing/>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符合性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1" w:type="pct"/>
                  <w:tcBorders>
                    <w:top w:val="single" w:color="auto" w:sz="4" w:space="0"/>
                    <w:left w:val="nil"/>
                    <w:bottom w:val="single" w:color="auto" w:sz="4" w:space="0"/>
                    <w:right w:val="single" w:color="auto" w:sz="4" w:space="0"/>
                  </w:tcBorders>
                  <w:tcMar>
                    <w:top w:w="0" w:type="dxa"/>
                    <w:left w:w="0" w:type="dxa"/>
                    <w:bottom w:w="0" w:type="dxa"/>
                    <w:right w:w="0" w:type="dxa"/>
                  </w:tcMar>
                  <w:vAlign w:val="center"/>
                </w:tcPr>
                <w:p>
                  <w:pPr>
                    <w:widowControl/>
                    <w:adjustRightInd w:val="0"/>
                    <w:snapToGrid w:val="0"/>
                    <w:spacing w:line="300" w:lineRule="exact"/>
                    <w:contextualSpacing/>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w:t>
                  </w:r>
                </w:p>
              </w:tc>
              <w:tc>
                <w:tcPr>
                  <w:tcW w:w="2177"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autoSpaceDE w:val="0"/>
                    <w:autoSpaceDN w:val="0"/>
                    <w:adjustRightInd w:val="0"/>
                    <w:snapToGrid w:val="0"/>
                    <w:spacing w:line="300" w:lineRule="exac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井下作业带罐作业，产生的井下作业废水采用专用收集罐集中收集后送至就近已有或配套新建的联合站污水处理系统处理。井</w:t>
                  </w:r>
                  <w:r>
                    <w:rPr>
                      <w:rFonts w:hint="default" w:ascii="Times New Roman" w:hAnsi="Times New Roman" w:eastAsia="宋体" w:cs="Times New Roman"/>
                      <w:color w:val="auto"/>
                      <w:sz w:val="21"/>
                      <w:szCs w:val="21"/>
                    </w:rPr>
                    <w:t>下作业过程中所使用的各种化学药剂严格控制落地，落地残液要彻底清理干净，不得向环境排放。</w:t>
                  </w:r>
                </w:p>
              </w:tc>
              <w:tc>
                <w:tcPr>
                  <w:tcW w:w="210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widowControl/>
                    <w:adjustRightInd w:val="0"/>
                    <w:snapToGrid w:val="0"/>
                    <w:spacing w:line="300" w:lineRule="exact"/>
                    <w:contextualSpacing/>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本次环评要求钻试期间洗井废水和压裂返排液由地面储罐收集后，依托石西集中处理站采出水处理系统处理</w:t>
                  </w:r>
                </w:p>
              </w:tc>
              <w:tc>
                <w:tcPr>
                  <w:tcW w:w="391" w:type="pct"/>
                  <w:tcBorders>
                    <w:top w:val="single" w:color="auto" w:sz="4" w:space="0"/>
                    <w:left w:val="single" w:color="auto" w:sz="4" w:space="0"/>
                    <w:bottom w:val="single" w:color="auto" w:sz="4" w:space="0"/>
                    <w:right w:val="nil"/>
                  </w:tcBorders>
                  <w:tcMar>
                    <w:top w:w="0" w:type="dxa"/>
                    <w:left w:w="0" w:type="dxa"/>
                    <w:bottom w:w="0" w:type="dxa"/>
                    <w:right w:w="0" w:type="dxa"/>
                  </w:tcMar>
                  <w:vAlign w:val="center"/>
                </w:tcPr>
                <w:p>
                  <w:pPr>
                    <w:widowControl/>
                    <w:adjustRightInd w:val="0"/>
                    <w:snapToGrid w:val="0"/>
                    <w:spacing w:line="300" w:lineRule="exact"/>
                    <w:contextualSpacing/>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00" w:hRule="atLeast"/>
              </w:trPr>
              <w:tc>
                <w:tcPr>
                  <w:tcW w:w="321" w:type="pct"/>
                  <w:tcBorders>
                    <w:top w:val="single" w:color="auto" w:sz="4" w:space="0"/>
                    <w:left w:val="nil"/>
                    <w:bottom w:val="single" w:color="auto" w:sz="4" w:space="0"/>
                    <w:right w:val="single" w:color="auto" w:sz="4" w:space="0"/>
                  </w:tcBorders>
                  <w:tcMar>
                    <w:top w:w="0" w:type="dxa"/>
                    <w:left w:w="0" w:type="dxa"/>
                    <w:bottom w:w="0" w:type="dxa"/>
                    <w:right w:w="0" w:type="dxa"/>
                  </w:tcMar>
                  <w:vAlign w:val="center"/>
                </w:tcPr>
                <w:p>
                  <w:pPr>
                    <w:widowControl/>
                    <w:adjustRightInd w:val="0"/>
                    <w:snapToGrid w:val="0"/>
                    <w:spacing w:line="300" w:lineRule="exact"/>
                    <w:contextualSpacing/>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2</w:t>
                  </w:r>
                </w:p>
              </w:tc>
              <w:tc>
                <w:tcPr>
                  <w:tcW w:w="2177"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autoSpaceDE w:val="0"/>
                    <w:autoSpaceDN w:val="0"/>
                    <w:adjustRightInd w:val="0"/>
                    <w:snapToGrid w:val="0"/>
                    <w:spacing w:line="300" w:lineRule="exac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根据《环境影响评价技术导则地下水环境》（HJ610-2016）表7和《</w:t>
                  </w:r>
                  <w:r>
                    <w:rPr>
                      <w:rFonts w:hint="eastAsia" w:cs="Times New Roman"/>
                      <w:color w:val="auto"/>
                      <w:sz w:val="21"/>
                      <w:szCs w:val="21"/>
                      <w:lang w:eastAsia="zh-CN"/>
                    </w:rPr>
                    <w:t>石油化工工程防渗技术规范</w:t>
                  </w:r>
                  <w:r>
                    <w:rPr>
                      <w:rFonts w:hint="default" w:ascii="Times New Roman" w:hAnsi="Times New Roman" w:eastAsia="宋体" w:cs="Times New Roman"/>
                      <w:color w:val="auto"/>
                      <w:sz w:val="21"/>
                      <w:szCs w:val="21"/>
                    </w:rPr>
                    <w:t>》（GB/T50934-2013）对项目区进行防渗分区，防渗应满足相应防渗等级的防渗要求，并布设一定数量的长期监测井。</w:t>
                  </w:r>
                </w:p>
              </w:tc>
              <w:tc>
                <w:tcPr>
                  <w:tcW w:w="210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widowControl/>
                    <w:adjustRightInd w:val="0"/>
                    <w:snapToGrid w:val="0"/>
                    <w:spacing w:line="300" w:lineRule="exact"/>
                    <w:contextualSpacing/>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本项目无运营期。为防止施工期各类污染物对项目区地下水造成污染，本次环评要求建设单位在施工期间对钻试井场和生活营地进行分区防渗，分为重点防渗区、一般防渗区和简单防渗区。其中柴油储罐、发电房、废料场、不落地系统、钻井液储罐区、岩屑储罐区、钻井井口、危险废物贮存点和应急放喷池（应急放喷池仅在事故状态下开挖）区域为重点防渗区；化工爬犁、材料爬犁、材料房和生活营地生活污水收集池区域为一般防渗区；水罐区、地质房、录井房和值班房等其他区域为简单防渗区。试油井场中发电房、采出液储罐、危废贮存点、试油废水罐和应急放喷池（应急放喷池仅在事故状态下开挖）为重点防渗区；值班房为简单防渗区</w:t>
                  </w:r>
                </w:p>
              </w:tc>
              <w:tc>
                <w:tcPr>
                  <w:tcW w:w="391" w:type="pct"/>
                  <w:tcBorders>
                    <w:top w:val="single" w:color="auto" w:sz="4" w:space="0"/>
                    <w:left w:val="single" w:color="auto" w:sz="4" w:space="0"/>
                    <w:bottom w:val="single" w:color="auto" w:sz="4" w:space="0"/>
                    <w:right w:val="nil"/>
                  </w:tcBorders>
                  <w:tcMar>
                    <w:top w:w="0" w:type="dxa"/>
                    <w:left w:w="0" w:type="dxa"/>
                    <w:bottom w:w="0" w:type="dxa"/>
                    <w:right w:w="0" w:type="dxa"/>
                  </w:tcMar>
                  <w:vAlign w:val="center"/>
                </w:tcPr>
                <w:p>
                  <w:pPr>
                    <w:widowControl/>
                    <w:adjustRightInd w:val="0"/>
                    <w:snapToGrid w:val="0"/>
                    <w:spacing w:line="300" w:lineRule="exact"/>
                    <w:contextualSpacing/>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1" w:type="pct"/>
                  <w:tcBorders>
                    <w:top w:val="single" w:color="auto" w:sz="4" w:space="0"/>
                    <w:left w:val="nil"/>
                    <w:bottom w:val="single" w:color="auto" w:sz="4" w:space="0"/>
                    <w:right w:val="single" w:color="auto" w:sz="4" w:space="0"/>
                  </w:tcBorders>
                  <w:tcMar>
                    <w:top w:w="0" w:type="dxa"/>
                    <w:left w:w="0" w:type="dxa"/>
                    <w:bottom w:w="0" w:type="dxa"/>
                    <w:right w:w="0" w:type="dxa"/>
                  </w:tcMar>
                  <w:vAlign w:val="center"/>
                </w:tcPr>
                <w:p>
                  <w:pPr>
                    <w:widowControl/>
                    <w:adjustRightInd w:val="0"/>
                    <w:snapToGrid w:val="0"/>
                    <w:spacing w:line="300" w:lineRule="exact"/>
                    <w:contextualSpacing/>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3</w:t>
                  </w:r>
                </w:p>
              </w:tc>
              <w:tc>
                <w:tcPr>
                  <w:tcW w:w="2177"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autoSpaceDE w:val="0"/>
                    <w:autoSpaceDN w:val="0"/>
                    <w:adjustRightInd w:val="0"/>
                    <w:snapToGrid w:val="0"/>
                    <w:spacing w:line="300" w:lineRule="exac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含油污泥、废分子筛等危险废物交由有相应处置资质的单位进行无害化处置。危险废物贮存设施必须满足《危险废物贮存污染控制标准》（GB 18597-2023）的相关要求，并按照《环境保护图形标志—固体废物贮存（处置）场》、《危险废物标志牌式样》设置明显标志。）工作人员的生活垃圾设置垃圾桶集中收集后交由当地的环卫部门及时清运</w:t>
                  </w:r>
                </w:p>
              </w:tc>
              <w:tc>
                <w:tcPr>
                  <w:tcW w:w="210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autoSpaceDE w:val="0"/>
                    <w:autoSpaceDN w:val="0"/>
                    <w:adjustRightInd w:val="0"/>
                    <w:snapToGrid w:val="0"/>
                    <w:spacing w:line="300" w:lineRule="exac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钻井井场设钻井液不落地设备，水基钻井岩屑暂存于</w:t>
                  </w:r>
                  <w:r>
                    <w:rPr>
                      <w:rFonts w:hint="default" w:ascii="Times New Roman" w:hAnsi="Times New Roman" w:eastAsia="宋体" w:cs="Times New Roman"/>
                      <w:color w:val="auto"/>
                      <w:sz w:val="21"/>
                      <w:szCs w:val="21"/>
                      <w:lang w:val="en-US" w:eastAsia="zh-CN"/>
                    </w:rPr>
                    <w:t>水基</w:t>
                  </w:r>
                  <w:r>
                    <w:rPr>
                      <w:rFonts w:hint="default" w:ascii="Times New Roman" w:hAnsi="Times New Roman" w:eastAsia="宋体" w:cs="Times New Roman"/>
                      <w:color w:val="auto"/>
                      <w:sz w:val="21"/>
                      <w:szCs w:val="21"/>
                    </w:rPr>
                    <w:t>岩屑方罐中，委托岩屑处置单位处置</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油基岩屑</w:t>
                  </w:r>
                  <w:r>
                    <w:rPr>
                      <w:rFonts w:hint="default" w:ascii="Times New Roman" w:hAnsi="Times New Roman" w:eastAsia="宋体" w:cs="Times New Roman"/>
                      <w:color w:val="auto"/>
                      <w:sz w:val="21"/>
                      <w:szCs w:val="21"/>
                    </w:rPr>
                    <w:t>暂存于</w:t>
                  </w:r>
                  <w:r>
                    <w:rPr>
                      <w:rFonts w:hint="default" w:ascii="Times New Roman" w:hAnsi="Times New Roman" w:cs="Times New Roman"/>
                      <w:color w:val="auto"/>
                      <w:sz w:val="21"/>
                      <w:szCs w:val="21"/>
                      <w:lang w:val="en-US" w:eastAsia="zh-CN"/>
                    </w:rPr>
                    <w:t>油基</w:t>
                  </w:r>
                  <w:r>
                    <w:rPr>
                      <w:rFonts w:hint="default" w:ascii="Times New Roman" w:hAnsi="Times New Roman" w:eastAsia="宋体" w:cs="Times New Roman"/>
                      <w:color w:val="auto"/>
                      <w:sz w:val="21"/>
                      <w:szCs w:val="21"/>
                    </w:rPr>
                    <w:t>岩屑方罐中，委托</w:t>
                  </w:r>
                  <w:r>
                    <w:rPr>
                      <w:rFonts w:hint="default" w:ascii="Times New Roman" w:hAnsi="Times New Roman" w:cs="Times New Roman"/>
                      <w:color w:val="auto"/>
                      <w:sz w:val="21"/>
                      <w:szCs w:val="21"/>
                      <w:lang w:val="en-US" w:eastAsia="zh-CN"/>
                    </w:rPr>
                    <w:t>具有相应危废资质单位清运处置</w:t>
                  </w:r>
                  <w:r>
                    <w:rPr>
                      <w:rFonts w:hint="default" w:ascii="Times New Roman" w:hAnsi="Times New Roman" w:eastAsia="宋体" w:cs="Times New Roman"/>
                      <w:color w:val="auto"/>
                      <w:sz w:val="21"/>
                      <w:szCs w:val="21"/>
                    </w:rPr>
                    <w:t>。钻井井场</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试油井场分别</w:t>
                  </w:r>
                  <w:r>
                    <w:rPr>
                      <w:rFonts w:hint="default" w:ascii="Times New Roman" w:hAnsi="Times New Roman" w:eastAsia="宋体" w:cs="Times New Roman"/>
                      <w:color w:val="auto"/>
                      <w:sz w:val="21"/>
                      <w:szCs w:val="21"/>
                    </w:rPr>
                    <w:t>设置1</w:t>
                  </w:r>
                  <w:r>
                    <w:rPr>
                      <w:rFonts w:hint="default" w:ascii="Times New Roman" w:hAnsi="Times New Roman" w:eastAsia="宋体" w:cs="Times New Roman"/>
                      <w:color w:val="auto"/>
                      <w:sz w:val="21"/>
                      <w:szCs w:val="21"/>
                      <w:lang w:val="en-US" w:eastAsia="zh-CN"/>
                    </w:rPr>
                    <w:t>处</w:t>
                  </w:r>
                  <w:r>
                    <w:rPr>
                      <w:rFonts w:hint="default" w:ascii="Times New Roman" w:hAnsi="Times New Roman" w:eastAsia="宋体" w:cs="Times New Roman"/>
                      <w:color w:val="auto"/>
                      <w:sz w:val="21"/>
                      <w:szCs w:val="21"/>
                    </w:rPr>
                    <w:t>危险废物贮存点，用于施工过程中产生的沾油废防渗材料、废润滑油及废润滑油桶的暂存，各类危险废物定期交由具有相应危险废物处置资质的单位进行接收、转运和处置。生活垃圾集中收集，定期清运至</w:t>
                  </w:r>
                  <w:r>
                    <w:rPr>
                      <w:rFonts w:hint="default" w:ascii="Times New Roman" w:hAnsi="Times New Roman" w:eastAsia="宋体" w:cs="Times New Roman"/>
                      <w:color w:val="auto"/>
                      <w:sz w:val="21"/>
                      <w:szCs w:val="21"/>
                      <w:lang w:val="en-US" w:eastAsia="zh-CN"/>
                    </w:rPr>
                    <w:t>呼图壁县</w:t>
                  </w:r>
                  <w:r>
                    <w:rPr>
                      <w:rFonts w:hint="default" w:ascii="Times New Roman" w:hAnsi="Times New Roman" w:eastAsia="宋体" w:cs="Times New Roman"/>
                      <w:color w:val="auto"/>
                      <w:sz w:val="21"/>
                      <w:szCs w:val="21"/>
                    </w:rPr>
                    <w:t>生活垃圾填埋场</w:t>
                  </w:r>
                  <w:r>
                    <w:rPr>
                      <w:rFonts w:hint="default" w:ascii="Times New Roman" w:hAnsi="Times New Roman" w:eastAsia="宋体" w:cs="Times New Roman"/>
                      <w:color w:val="auto"/>
                      <w:sz w:val="21"/>
                      <w:szCs w:val="21"/>
                      <w:lang w:val="en-US" w:eastAsia="zh-CN"/>
                    </w:rPr>
                    <w:t>填埋</w:t>
                  </w:r>
                  <w:r>
                    <w:rPr>
                      <w:rFonts w:hint="default" w:ascii="Times New Roman" w:hAnsi="Times New Roman" w:eastAsia="宋体" w:cs="Times New Roman"/>
                      <w:color w:val="auto"/>
                      <w:sz w:val="21"/>
                      <w:szCs w:val="21"/>
                    </w:rPr>
                    <w:t>处置。建筑垃圾集中收集后送至当地建筑垃圾填埋场。</w:t>
                  </w:r>
                </w:p>
              </w:tc>
              <w:tc>
                <w:tcPr>
                  <w:tcW w:w="391" w:type="pct"/>
                  <w:tcBorders>
                    <w:top w:val="single" w:color="auto" w:sz="4" w:space="0"/>
                    <w:left w:val="single" w:color="auto" w:sz="4" w:space="0"/>
                    <w:bottom w:val="single" w:color="auto" w:sz="4" w:space="0"/>
                    <w:right w:val="nil"/>
                  </w:tcBorders>
                  <w:tcMar>
                    <w:top w:w="0" w:type="dxa"/>
                    <w:left w:w="0" w:type="dxa"/>
                    <w:bottom w:w="0" w:type="dxa"/>
                    <w:right w:w="0" w:type="dxa"/>
                  </w:tcMar>
                  <w:vAlign w:val="center"/>
                </w:tcPr>
                <w:p>
                  <w:pPr>
                    <w:widowControl/>
                    <w:adjustRightInd w:val="0"/>
                    <w:snapToGrid w:val="0"/>
                    <w:spacing w:line="300" w:lineRule="exact"/>
                    <w:contextualSpacing/>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1" w:type="pct"/>
                  <w:tcBorders>
                    <w:top w:val="single" w:color="auto" w:sz="4" w:space="0"/>
                    <w:left w:val="nil"/>
                    <w:bottom w:val="single" w:color="auto" w:sz="4" w:space="0"/>
                    <w:right w:val="single" w:color="auto" w:sz="4" w:space="0"/>
                  </w:tcBorders>
                  <w:tcMar>
                    <w:top w:w="0" w:type="dxa"/>
                    <w:left w:w="0" w:type="dxa"/>
                    <w:bottom w:w="0" w:type="dxa"/>
                    <w:right w:w="0" w:type="dxa"/>
                  </w:tcMar>
                  <w:vAlign w:val="center"/>
                </w:tcPr>
                <w:p>
                  <w:pPr>
                    <w:widowControl/>
                    <w:adjustRightInd w:val="0"/>
                    <w:snapToGrid w:val="0"/>
                    <w:spacing w:line="300" w:lineRule="exact"/>
                    <w:contextualSpacing/>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4</w:t>
                  </w:r>
                </w:p>
              </w:tc>
              <w:tc>
                <w:tcPr>
                  <w:tcW w:w="2177"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autoSpaceDE w:val="0"/>
                    <w:autoSpaceDN w:val="0"/>
                    <w:adjustRightInd w:val="0"/>
                    <w:snapToGrid w:val="0"/>
                    <w:spacing w:line="300" w:lineRule="exac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井场清理等工作还会产生部分废弃管线、废弃建筑残渣等固体废物，对这些废弃管线、残渣等进行集中清理收集，管线外运经清洗后可回收再利用，废弃建筑残渣外运至指定处理场填埋处理。运输过程中，运输车辆均加盖篷布，以防止行驶过程中固体废物的散落。</w:t>
                  </w:r>
                </w:p>
              </w:tc>
              <w:tc>
                <w:tcPr>
                  <w:tcW w:w="210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widowControl/>
                    <w:adjustRightInd w:val="0"/>
                    <w:snapToGrid w:val="0"/>
                    <w:spacing w:line="300" w:lineRule="exact"/>
                    <w:contextualSpacing/>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钻试工程结束后，井场清理等工作中会产生废弃建筑残渣，应集中清理收集。废弃建筑残渣外运至当地建筑垃圾填埋场，不得遗留在场地内。运输过程中，运输车辆加盖篷布，以防止行驶过程中固体废物的散落。</w:t>
                  </w:r>
                </w:p>
              </w:tc>
              <w:tc>
                <w:tcPr>
                  <w:tcW w:w="391" w:type="pct"/>
                  <w:tcBorders>
                    <w:top w:val="single" w:color="auto" w:sz="4" w:space="0"/>
                    <w:left w:val="single" w:color="auto" w:sz="4" w:space="0"/>
                    <w:bottom w:val="single" w:color="auto" w:sz="4" w:space="0"/>
                    <w:right w:val="nil"/>
                  </w:tcBorders>
                  <w:tcMar>
                    <w:top w:w="0" w:type="dxa"/>
                    <w:left w:w="0" w:type="dxa"/>
                    <w:bottom w:w="0" w:type="dxa"/>
                    <w:right w:w="0" w:type="dxa"/>
                  </w:tcMar>
                  <w:vAlign w:val="center"/>
                </w:tcPr>
                <w:p>
                  <w:pPr>
                    <w:widowControl/>
                    <w:adjustRightInd w:val="0"/>
                    <w:snapToGrid w:val="0"/>
                    <w:spacing w:line="300" w:lineRule="exact"/>
                    <w:contextualSpacing/>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符合</w:t>
                  </w:r>
                </w:p>
              </w:tc>
            </w:tr>
          </w:tbl>
          <w:p>
            <w:pPr>
              <w:rPr>
                <w:color w:val="auto"/>
              </w:rPr>
            </w:pPr>
          </w:p>
          <w:tbl>
            <w:tblPr>
              <w:tblStyle w:val="2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39"/>
              <w:gridCol w:w="3656"/>
              <w:gridCol w:w="3541"/>
              <w:gridCol w:w="65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31" w:type="dxa"/>
                  <w:tcBorders>
                    <w:top w:val="single" w:color="auto" w:sz="4" w:space="0"/>
                    <w:left w:val="nil"/>
                    <w:bottom w:val="single" w:color="auto" w:sz="4" w:space="0"/>
                    <w:right w:val="single" w:color="auto" w:sz="4" w:space="0"/>
                  </w:tcBorders>
                  <w:tcMar>
                    <w:top w:w="0" w:type="dxa"/>
                    <w:left w:w="0" w:type="dxa"/>
                    <w:bottom w:w="0" w:type="dxa"/>
                    <w:right w:w="0" w:type="dxa"/>
                  </w:tcMar>
                  <w:vAlign w:val="center"/>
                </w:tcPr>
                <w:p>
                  <w:pPr>
                    <w:widowControl/>
                    <w:adjustRightInd w:val="0"/>
                    <w:snapToGrid w:val="0"/>
                    <w:spacing w:line="300" w:lineRule="exact"/>
                    <w:contextualSpacing/>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序号</w:t>
                  </w:r>
                </w:p>
              </w:tc>
              <w:tc>
                <w:tcPr>
                  <w:tcW w:w="359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widowControl/>
                    <w:adjustRightInd w:val="0"/>
                    <w:snapToGrid w:val="0"/>
                    <w:spacing w:line="300" w:lineRule="exact"/>
                    <w:contextualSpacing/>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规划环评规定</w:t>
                  </w:r>
                </w:p>
              </w:tc>
              <w:tc>
                <w:tcPr>
                  <w:tcW w:w="3481"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widowControl/>
                    <w:adjustRightInd w:val="0"/>
                    <w:snapToGrid w:val="0"/>
                    <w:spacing w:line="300" w:lineRule="exact"/>
                    <w:contextualSpacing/>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拟采取的相关措施</w:t>
                  </w:r>
                </w:p>
              </w:tc>
              <w:tc>
                <w:tcPr>
                  <w:tcW w:w="646" w:type="dxa"/>
                  <w:tcBorders>
                    <w:top w:val="single" w:color="auto" w:sz="4" w:space="0"/>
                    <w:left w:val="single" w:color="auto" w:sz="4" w:space="0"/>
                    <w:bottom w:val="single" w:color="auto" w:sz="4" w:space="0"/>
                    <w:right w:val="nil"/>
                  </w:tcBorders>
                  <w:tcMar>
                    <w:top w:w="0" w:type="dxa"/>
                    <w:left w:w="0" w:type="dxa"/>
                    <w:bottom w:w="0" w:type="dxa"/>
                    <w:right w:w="0" w:type="dxa"/>
                  </w:tcMar>
                  <w:vAlign w:val="center"/>
                </w:tcPr>
                <w:p>
                  <w:pPr>
                    <w:widowControl/>
                    <w:adjustRightInd w:val="0"/>
                    <w:snapToGrid w:val="0"/>
                    <w:spacing w:line="300" w:lineRule="exact"/>
                    <w:contextualSpacing/>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符合性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1" w:type="pct"/>
                  <w:tcBorders>
                    <w:top w:val="single" w:color="auto" w:sz="4" w:space="0"/>
                    <w:left w:val="nil"/>
                    <w:bottom w:val="single" w:color="auto" w:sz="4" w:space="0"/>
                    <w:right w:val="single" w:color="auto" w:sz="4" w:space="0"/>
                  </w:tcBorders>
                  <w:tcMar>
                    <w:top w:w="0" w:type="dxa"/>
                    <w:left w:w="0" w:type="dxa"/>
                    <w:bottom w:w="0" w:type="dxa"/>
                    <w:right w:w="0" w:type="dxa"/>
                  </w:tcMar>
                  <w:vAlign w:val="center"/>
                </w:tcPr>
                <w:p>
                  <w:pPr>
                    <w:widowControl/>
                    <w:adjustRightInd w:val="0"/>
                    <w:snapToGrid w:val="0"/>
                    <w:spacing w:line="300" w:lineRule="exact"/>
                    <w:contextualSpacing/>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5</w:t>
                  </w:r>
                </w:p>
              </w:tc>
              <w:tc>
                <w:tcPr>
                  <w:tcW w:w="2177"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widowControl/>
                    <w:adjustRightInd w:val="0"/>
                    <w:snapToGrid w:val="0"/>
                    <w:spacing w:line="300" w:lineRule="exact"/>
                    <w:contextualSpacing/>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尽量选用低噪声设备，对噪声强度较大的设备进行减噪处理；定期给机泵等设备加润滑油和减振垫，对各种机械设备定期保养。</w:t>
                  </w:r>
                </w:p>
              </w:tc>
              <w:tc>
                <w:tcPr>
                  <w:tcW w:w="210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widowControl/>
                    <w:adjustRightInd w:val="0"/>
                    <w:snapToGrid w:val="0"/>
                    <w:spacing w:line="300" w:lineRule="exact"/>
                    <w:contextualSpacing/>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采用低噪声设备；加强设备维护及保养，对噪声较大的设备采取基础减振措施；加强施工场地管理，合理疏导进入施工区的车辆，禁止运输车辆随意高声鸣笛。</w:t>
                  </w:r>
                </w:p>
              </w:tc>
              <w:tc>
                <w:tcPr>
                  <w:tcW w:w="391" w:type="pct"/>
                  <w:tcBorders>
                    <w:top w:val="single" w:color="auto" w:sz="4" w:space="0"/>
                    <w:left w:val="single" w:color="auto" w:sz="4" w:space="0"/>
                    <w:bottom w:val="single" w:color="auto" w:sz="4" w:space="0"/>
                    <w:right w:val="nil"/>
                  </w:tcBorders>
                  <w:tcMar>
                    <w:top w:w="0" w:type="dxa"/>
                    <w:left w:w="0" w:type="dxa"/>
                    <w:bottom w:w="0" w:type="dxa"/>
                    <w:right w:w="0" w:type="dxa"/>
                  </w:tcMar>
                  <w:vAlign w:val="center"/>
                </w:tcPr>
                <w:p>
                  <w:pPr>
                    <w:widowControl/>
                    <w:adjustRightInd w:val="0"/>
                    <w:snapToGrid w:val="0"/>
                    <w:spacing w:line="300" w:lineRule="exact"/>
                    <w:contextualSpacing/>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1" w:type="pct"/>
                  <w:tcBorders>
                    <w:top w:val="single" w:color="auto" w:sz="4" w:space="0"/>
                    <w:left w:val="nil"/>
                    <w:bottom w:val="single" w:color="auto" w:sz="12" w:space="0"/>
                    <w:right w:val="single" w:color="auto" w:sz="4" w:space="0"/>
                  </w:tcBorders>
                  <w:tcMar>
                    <w:top w:w="0" w:type="dxa"/>
                    <w:left w:w="0" w:type="dxa"/>
                    <w:bottom w:w="0" w:type="dxa"/>
                    <w:right w:w="0" w:type="dxa"/>
                  </w:tcMar>
                  <w:vAlign w:val="center"/>
                </w:tcPr>
                <w:p>
                  <w:pPr>
                    <w:widowControl/>
                    <w:adjustRightInd w:val="0"/>
                    <w:snapToGrid w:val="0"/>
                    <w:spacing w:line="300" w:lineRule="exact"/>
                    <w:contextualSpacing/>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6</w:t>
                  </w:r>
                </w:p>
              </w:tc>
              <w:tc>
                <w:tcPr>
                  <w:tcW w:w="2177" w:type="pct"/>
                  <w:tcBorders>
                    <w:top w:val="single" w:color="auto" w:sz="4" w:space="0"/>
                    <w:left w:val="single" w:color="auto" w:sz="4" w:space="0"/>
                    <w:bottom w:val="single" w:color="auto" w:sz="12" w:space="0"/>
                    <w:right w:val="single" w:color="auto" w:sz="4" w:space="0"/>
                  </w:tcBorders>
                  <w:tcMar>
                    <w:top w:w="0" w:type="dxa"/>
                    <w:left w:w="0" w:type="dxa"/>
                    <w:bottom w:w="0" w:type="dxa"/>
                    <w:right w:w="0" w:type="dxa"/>
                  </w:tcMar>
                  <w:vAlign w:val="center"/>
                </w:tcPr>
                <w:p>
                  <w:pPr>
                    <w:widowControl/>
                    <w:adjustRightInd w:val="0"/>
                    <w:snapToGrid w:val="0"/>
                    <w:spacing w:line="300" w:lineRule="exact"/>
                    <w:contextualSpacing/>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合理规划占地，严格控制占地面积，尽量选择在植被稀少或荒漠的区域布设，避让梭梭、白梭梭等保护植物；严格控制管线施工作业带宽度，管沟分层开挖、分层堆放、分层回填；施工过程中严格规定车辆和各类工作人员的活动范围，使之限于在施工区范围内活动，最大限度减少对荒漠植物生存环境的踩踏破坏，避免破坏荒漠植物；开展环境监理；永久占地进行砾石铺垫，定期检查管线、井场等。</w:t>
                  </w:r>
                </w:p>
              </w:tc>
              <w:tc>
                <w:tcPr>
                  <w:tcW w:w="2109" w:type="pct"/>
                  <w:tcBorders>
                    <w:top w:val="single" w:color="auto" w:sz="4" w:space="0"/>
                    <w:left w:val="single" w:color="auto" w:sz="4" w:space="0"/>
                    <w:bottom w:val="single" w:color="auto" w:sz="12" w:space="0"/>
                    <w:right w:val="single" w:color="auto" w:sz="4" w:space="0"/>
                  </w:tcBorders>
                  <w:tcMar>
                    <w:top w:w="0" w:type="dxa"/>
                    <w:left w:w="0" w:type="dxa"/>
                    <w:bottom w:w="0" w:type="dxa"/>
                    <w:right w:w="0" w:type="dxa"/>
                  </w:tcMar>
                  <w:vAlign w:val="center"/>
                </w:tcPr>
                <w:p>
                  <w:pPr>
                    <w:widowControl w:val="0"/>
                    <w:spacing w:line="300" w:lineRule="exact"/>
                    <w:jc w:val="both"/>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项目</w:t>
                  </w:r>
                  <w:r>
                    <w:rPr>
                      <w:rFonts w:hint="default" w:ascii="Times New Roman" w:hAnsi="Times New Roman" w:eastAsia="宋体" w:cs="Times New Roman"/>
                      <w:color w:val="auto"/>
                      <w:kern w:val="2"/>
                      <w:sz w:val="21"/>
                      <w:szCs w:val="21"/>
                      <w:lang w:val="en-US" w:eastAsia="zh-CN" w:bidi="ar-SA"/>
                    </w:rPr>
                    <w:t>施工井场、生活营地等选址</w:t>
                  </w:r>
                  <w:r>
                    <w:rPr>
                      <w:rFonts w:hint="eastAsia" w:cs="Times New Roman"/>
                      <w:color w:val="auto"/>
                      <w:kern w:val="2"/>
                      <w:sz w:val="21"/>
                      <w:szCs w:val="21"/>
                      <w:lang w:val="en-US" w:eastAsia="zh-CN" w:bidi="ar-SA"/>
                    </w:rPr>
                    <w:t>利用已实施过勘探工程的用地</w:t>
                  </w:r>
                  <w:r>
                    <w:rPr>
                      <w:rFonts w:hint="default" w:ascii="Times New Roman" w:hAnsi="Times New Roman" w:eastAsia="宋体" w:cs="Times New Roman"/>
                      <w:color w:val="auto"/>
                      <w:kern w:val="2"/>
                      <w:sz w:val="21"/>
                      <w:szCs w:val="21"/>
                      <w:lang w:val="en-US" w:eastAsia="zh-CN" w:bidi="ar-SA"/>
                    </w:rPr>
                    <w:t>，在满足勘探设计和施工要求的前提下，对井场、生活营地位置等临时占地进行适当调整，避开野生植物生长</w:t>
                  </w:r>
                  <w:r>
                    <w:rPr>
                      <w:rFonts w:hint="eastAsia" w:cs="Times New Roman"/>
                      <w:color w:val="auto"/>
                      <w:kern w:val="2"/>
                      <w:sz w:val="21"/>
                      <w:szCs w:val="21"/>
                      <w:lang w:val="en-US" w:eastAsia="zh-CN" w:bidi="ar-SA"/>
                    </w:rPr>
                    <w:t>相对</w:t>
                  </w:r>
                  <w:r>
                    <w:rPr>
                      <w:rFonts w:hint="default" w:ascii="Times New Roman" w:hAnsi="Times New Roman" w:eastAsia="宋体" w:cs="Times New Roman"/>
                      <w:color w:val="auto"/>
                      <w:kern w:val="2"/>
                      <w:sz w:val="21"/>
                      <w:szCs w:val="21"/>
                      <w:lang w:val="en-US" w:eastAsia="zh-CN" w:bidi="ar-SA"/>
                    </w:rPr>
                    <w:t>密集地带，加强施工管理，严格控制施工作业范围；缩短施工时间；施工前需对占地范围内表土进行剥离，剥离后用砂石料对井场和探临道路进行铺垫，剥离表土单独堆放，用于完井后临时占地的恢复；施工结束后应及时对施工区进行平整、清理，恢复临时占地；本次环评要求建设单位按照有关规定，依法办理占地手续，足额缴纳生态补偿费</w:t>
                  </w:r>
                </w:p>
              </w:tc>
              <w:tc>
                <w:tcPr>
                  <w:tcW w:w="391" w:type="pct"/>
                  <w:tcBorders>
                    <w:top w:val="single" w:color="auto" w:sz="4" w:space="0"/>
                    <w:left w:val="single" w:color="auto" w:sz="4" w:space="0"/>
                    <w:bottom w:val="single" w:color="auto" w:sz="12" w:space="0"/>
                    <w:right w:val="nil"/>
                  </w:tcBorders>
                  <w:tcMar>
                    <w:top w:w="0" w:type="dxa"/>
                    <w:left w:w="0" w:type="dxa"/>
                    <w:bottom w:w="0" w:type="dxa"/>
                    <w:right w:w="0" w:type="dxa"/>
                  </w:tcMar>
                  <w:vAlign w:val="center"/>
                </w:tcPr>
                <w:p>
                  <w:pPr>
                    <w:widowControl/>
                    <w:adjustRightInd w:val="0"/>
                    <w:snapToGrid w:val="0"/>
                    <w:spacing w:line="300" w:lineRule="exact"/>
                    <w:contextualSpacing/>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符合</w:t>
                  </w:r>
                </w:p>
              </w:tc>
            </w:tr>
          </w:tbl>
          <w:p>
            <w:pPr>
              <w:pStyle w:val="56"/>
              <w:bidi w:val="0"/>
              <w:rPr>
                <w:rFonts w:hint="eastAsia"/>
                <w:color w:val="auto"/>
              </w:rPr>
            </w:pPr>
            <w:r>
              <w:rPr>
                <w:rFonts w:hint="eastAsia"/>
                <w:color w:val="auto"/>
              </w:rPr>
              <w:t>表</w:t>
            </w:r>
            <w:r>
              <w:rPr>
                <w:rFonts w:hint="eastAsia"/>
                <w:color w:val="auto"/>
                <w:lang w:val="en-US" w:eastAsia="zh-CN"/>
              </w:rPr>
              <w:t xml:space="preserve">1-2 </w:t>
            </w:r>
            <w:r>
              <w:rPr>
                <w:rFonts w:hint="eastAsia"/>
                <w:color w:val="auto"/>
              </w:rPr>
              <w:t xml:space="preserve"> 项目与《新疆油田公司“十四五”发展规划环境影响报告书》</w:t>
            </w:r>
          </w:p>
          <w:p>
            <w:pPr>
              <w:pStyle w:val="56"/>
              <w:bidi w:val="0"/>
              <w:spacing w:line="240" w:lineRule="auto"/>
              <w:rPr>
                <w:rFonts w:hint="eastAsia"/>
                <w:color w:val="auto"/>
              </w:rPr>
            </w:pPr>
            <w:r>
              <w:rPr>
                <w:rFonts w:hint="eastAsia"/>
                <w:color w:val="auto"/>
              </w:rPr>
              <w:t>结论符合性分析</w:t>
            </w:r>
          </w:p>
          <w:tbl>
            <w:tblPr>
              <w:tblStyle w:val="27"/>
              <w:tblW w:w="499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6" w:type="dxa"/>
                <w:bottom w:w="0" w:type="dxa"/>
                <w:right w:w="6" w:type="dxa"/>
              </w:tblCellMar>
            </w:tblPr>
            <w:tblGrid>
              <w:gridCol w:w="503"/>
              <w:gridCol w:w="4207"/>
              <w:gridCol w:w="3020"/>
              <w:gridCol w:w="65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6" w:type="dxa"/>
                  <w:bottom w:w="0" w:type="dxa"/>
                  <w:right w:w="6" w:type="dxa"/>
                </w:tblCellMar>
              </w:tblPrEx>
              <w:trPr>
                <w:trHeight w:val="340" w:hRule="atLeast"/>
                <w:jc w:val="center"/>
              </w:trPr>
              <w:tc>
                <w:tcPr>
                  <w:tcW w:w="300" w:type="pct"/>
                  <w:tcBorders>
                    <w:top w:val="single" w:color="auto" w:sz="12" w:space="0"/>
                    <w:left w:val="nil"/>
                    <w:bottom w:val="single" w:color="auto" w:sz="4" w:space="0"/>
                    <w:right w:val="single" w:color="auto" w:sz="4" w:space="0"/>
                  </w:tcBorders>
                  <w:tcMar>
                    <w:top w:w="0" w:type="dxa"/>
                    <w:left w:w="0" w:type="dxa"/>
                    <w:bottom w:w="0" w:type="dxa"/>
                    <w:right w:w="0" w:type="dxa"/>
                  </w:tcMar>
                  <w:vAlign w:val="center"/>
                </w:tcPr>
                <w:p>
                  <w:pPr>
                    <w:adjustRightInd w:val="0"/>
                    <w:snapToGrid w:val="0"/>
                    <w:spacing w:line="30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序号</w:t>
                  </w:r>
                </w:p>
              </w:tc>
              <w:tc>
                <w:tcPr>
                  <w:tcW w:w="2508" w:type="pct"/>
                  <w:tcBorders>
                    <w:top w:val="single" w:color="auto" w:sz="12" w:space="0"/>
                    <w:left w:val="single" w:color="auto" w:sz="4" w:space="0"/>
                    <w:bottom w:val="single" w:color="auto" w:sz="4" w:space="0"/>
                    <w:right w:val="single" w:color="auto" w:sz="4" w:space="0"/>
                  </w:tcBorders>
                  <w:tcMar>
                    <w:top w:w="0" w:type="dxa"/>
                    <w:left w:w="0" w:type="dxa"/>
                    <w:bottom w:w="0" w:type="dxa"/>
                    <w:right w:w="0" w:type="dxa"/>
                  </w:tcMar>
                  <w:vAlign w:val="center"/>
                </w:tcPr>
                <w:p>
                  <w:pPr>
                    <w:adjustRightInd w:val="0"/>
                    <w:snapToGrid w:val="0"/>
                    <w:spacing w:line="30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规划环评结论</w:t>
                  </w:r>
                </w:p>
              </w:tc>
              <w:tc>
                <w:tcPr>
                  <w:tcW w:w="1800" w:type="pct"/>
                  <w:tcBorders>
                    <w:top w:val="single" w:color="auto" w:sz="12" w:space="0"/>
                    <w:left w:val="single" w:color="auto" w:sz="4" w:space="0"/>
                    <w:bottom w:val="single" w:color="auto" w:sz="4" w:space="0"/>
                    <w:right w:val="single" w:color="auto" w:sz="4" w:space="0"/>
                  </w:tcBorders>
                  <w:tcMar>
                    <w:top w:w="0" w:type="dxa"/>
                    <w:left w:w="0" w:type="dxa"/>
                    <w:bottom w:w="0" w:type="dxa"/>
                    <w:right w:w="0" w:type="dxa"/>
                  </w:tcMar>
                  <w:vAlign w:val="center"/>
                </w:tcPr>
                <w:p>
                  <w:pPr>
                    <w:adjustRightInd w:val="0"/>
                    <w:snapToGrid w:val="0"/>
                    <w:spacing w:line="30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拟采取的相关措施</w:t>
                  </w:r>
                </w:p>
              </w:tc>
              <w:tc>
                <w:tcPr>
                  <w:tcW w:w="390" w:type="pct"/>
                  <w:tcBorders>
                    <w:top w:val="single" w:color="auto" w:sz="12" w:space="0"/>
                    <w:left w:val="single" w:color="auto" w:sz="4" w:space="0"/>
                    <w:bottom w:val="single" w:color="auto" w:sz="4" w:space="0"/>
                    <w:right w:val="nil"/>
                  </w:tcBorders>
                  <w:tcMar>
                    <w:top w:w="0" w:type="dxa"/>
                    <w:left w:w="0" w:type="dxa"/>
                    <w:bottom w:w="0" w:type="dxa"/>
                    <w:right w:w="0" w:type="dxa"/>
                  </w:tcMar>
                  <w:vAlign w:val="center"/>
                </w:tcPr>
                <w:p>
                  <w:pPr>
                    <w:widowControl/>
                    <w:adjustRightInd w:val="0"/>
                    <w:snapToGrid w:val="0"/>
                    <w:spacing w:line="300" w:lineRule="exact"/>
                    <w:contextualSpacing/>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2"/>
                      <w:sz w:val="21"/>
                      <w:szCs w:val="21"/>
                      <w:lang w:val="en-US" w:eastAsia="zh-CN" w:bidi="ar-SA"/>
                    </w:rPr>
                    <w:t>符合性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6" w:type="dxa"/>
                  <w:bottom w:w="0" w:type="dxa"/>
                  <w:right w:w="6" w:type="dxa"/>
                </w:tblCellMar>
              </w:tblPrEx>
              <w:trPr>
                <w:trHeight w:val="340" w:hRule="atLeast"/>
                <w:jc w:val="center"/>
              </w:trPr>
              <w:tc>
                <w:tcPr>
                  <w:tcW w:w="300" w:type="pct"/>
                  <w:tcBorders>
                    <w:top w:val="single" w:color="auto" w:sz="4" w:space="0"/>
                    <w:left w:val="nil"/>
                    <w:bottom w:val="single" w:color="auto" w:sz="4" w:space="0"/>
                    <w:right w:val="single" w:color="auto" w:sz="4" w:space="0"/>
                  </w:tcBorders>
                  <w:tcMar>
                    <w:top w:w="0" w:type="dxa"/>
                    <w:left w:w="0" w:type="dxa"/>
                    <w:bottom w:w="0" w:type="dxa"/>
                    <w:right w:w="0" w:type="dxa"/>
                  </w:tcMar>
                  <w:vAlign w:val="center"/>
                </w:tcPr>
                <w:p>
                  <w:pPr>
                    <w:adjustRightInd w:val="0"/>
                    <w:snapToGrid w:val="0"/>
                    <w:spacing w:line="30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c>
                <w:tcPr>
                  <w:tcW w:w="2508"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autoSpaceDE w:val="0"/>
                    <w:autoSpaceDN w:val="0"/>
                    <w:adjustRightInd w:val="0"/>
                    <w:snapToGrid w:val="0"/>
                    <w:spacing w:line="30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规划生产运营期废气主要各燃气设备产生的燃烧尾气，油气集输及各类储罐暂存过程中无组织逸散的烃类等，主要大气污染物为烟尘、SO</w:t>
                  </w:r>
                  <w:r>
                    <w:rPr>
                      <w:rFonts w:hint="default" w:ascii="Times New Roman" w:hAnsi="Times New Roman" w:eastAsia="宋体" w:cs="Times New Roman"/>
                      <w:color w:val="auto"/>
                      <w:kern w:val="0"/>
                      <w:sz w:val="21"/>
                      <w:szCs w:val="21"/>
                      <w:vertAlign w:val="subscript"/>
                    </w:rPr>
                    <w:t>2</w:t>
                  </w:r>
                  <w:r>
                    <w:rPr>
                      <w:rFonts w:hint="default" w:ascii="Times New Roman" w:hAnsi="Times New Roman" w:eastAsia="宋体" w:cs="Times New Roman"/>
                      <w:color w:val="auto"/>
                      <w:kern w:val="0"/>
                      <w:sz w:val="21"/>
                      <w:szCs w:val="21"/>
                    </w:rPr>
                    <w:t>和NO</w:t>
                  </w:r>
                  <w:r>
                    <w:rPr>
                      <w:rFonts w:hint="default" w:ascii="Times New Roman" w:hAnsi="Times New Roman" w:eastAsia="宋体" w:cs="Times New Roman"/>
                      <w:color w:val="auto"/>
                      <w:kern w:val="0"/>
                      <w:sz w:val="21"/>
                      <w:szCs w:val="21"/>
                      <w:vertAlign w:val="subscript"/>
                    </w:rPr>
                    <w:t>2</w:t>
                  </w:r>
                  <w:r>
                    <w:rPr>
                      <w:rFonts w:hint="default" w:ascii="Times New Roman" w:hAnsi="Times New Roman" w:eastAsia="宋体" w:cs="Times New Roman"/>
                      <w:color w:val="auto"/>
                      <w:kern w:val="0"/>
                      <w:sz w:val="21"/>
                      <w:szCs w:val="21"/>
                    </w:rPr>
                    <w:t>、非甲烷总烃。规划所用各燃气设备（燃气加热炉、相变炉、锅炉等）燃料均为天然气，为清洁能源。燃烧后污染物排放量少，对环境影响较小。燃气设备排放的SO</w:t>
                  </w:r>
                  <w:r>
                    <w:rPr>
                      <w:rFonts w:hint="default" w:ascii="Times New Roman" w:hAnsi="Times New Roman" w:eastAsia="宋体" w:cs="Times New Roman"/>
                      <w:color w:val="auto"/>
                      <w:kern w:val="0"/>
                      <w:sz w:val="21"/>
                      <w:szCs w:val="21"/>
                      <w:vertAlign w:val="subscript"/>
                    </w:rPr>
                    <w:t>2</w:t>
                  </w:r>
                  <w:r>
                    <w:rPr>
                      <w:rFonts w:hint="default" w:ascii="Times New Roman" w:hAnsi="Times New Roman" w:eastAsia="宋体" w:cs="Times New Roman"/>
                      <w:color w:val="auto"/>
                      <w:kern w:val="0"/>
                      <w:sz w:val="21"/>
                      <w:szCs w:val="21"/>
                    </w:rPr>
                    <w:t>、NO</w:t>
                  </w:r>
                  <w:r>
                    <w:rPr>
                      <w:rFonts w:hint="default" w:ascii="Times New Roman" w:hAnsi="Times New Roman" w:eastAsia="宋体" w:cs="Times New Roman"/>
                      <w:color w:val="auto"/>
                      <w:kern w:val="0"/>
                      <w:sz w:val="21"/>
                      <w:szCs w:val="21"/>
                      <w:vertAlign w:val="subscript"/>
                    </w:rPr>
                    <w:t>x</w:t>
                  </w:r>
                  <w:r>
                    <w:rPr>
                      <w:rFonts w:hint="default" w:ascii="Times New Roman" w:hAnsi="Times New Roman" w:eastAsia="宋体" w:cs="Times New Roman"/>
                      <w:color w:val="auto"/>
                      <w:kern w:val="0"/>
                      <w:sz w:val="21"/>
                      <w:szCs w:val="21"/>
                    </w:rPr>
                    <w:t>均符合《锅炉大气污染物排放标准》标准限值，对周围环境造成的影响较小。油气集输过程及各类储罐暂存过程中产生的烃类挥发是影响规划区域环境空气的主要污染源。油气集输及处理采用全密闭流程，井口密封并设紧急截断阀，可有效减少烃类气体的挥发。严格按照GB39728 标准要求，对部分不符合标准的储罐、装载系统等进行改造。通过采取相应的污染防治措施，能够有效控制无组织烃类的污染，在运行过程中严格管理，确保废气控制措施正常运转，各站场场界浓度和最大落地浓度可满足《陆上石油天然气开采工业大气污染物排放标准》（GB39728-2020）的场界标准限值（4mg/m</w:t>
                  </w:r>
                  <w:r>
                    <w:rPr>
                      <w:rFonts w:hint="default" w:ascii="Times New Roman" w:hAnsi="Times New Roman" w:eastAsia="宋体" w:cs="Times New Roman"/>
                      <w:color w:val="auto"/>
                      <w:kern w:val="0"/>
                      <w:sz w:val="21"/>
                      <w:szCs w:val="21"/>
                      <w:vertAlign w:val="superscript"/>
                    </w:rPr>
                    <w:t>3</w:t>
                  </w:r>
                  <w:r>
                    <w:rPr>
                      <w:rFonts w:hint="default" w:ascii="Times New Roman" w:hAnsi="Times New Roman" w:eastAsia="宋体" w:cs="Times New Roman"/>
                      <w:color w:val="auto"/>
                      <w:kern w:val="0"/>
                      <w:sz w:val="21"/>
                      <w:szCs w:val="21"/>
                    </w:rPr>
                    <w:t>）</w:t>
                  </w:r>
                </w:p>
              </w:tc>
              <w:tc>
                <w:tcPr>
                  <w:tcW w:w="1800"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adjustRightInd w:val="0"/>
                    <w:snapToGrid w:val="0"/>
                    <w:spacing w:line="30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本项目无运营期，本项目施工期较短，对易起尘物料进行遮盖、加强车辆管理等措施；柴油储罐采用固定顶罐；水基钻井岩屑</w:t>
                  </w:r>
                  <w:r>
                    <w:rPr>
                      <w:rFonts w:hint="default" w:ascii="Times New Roman" w:hAnsi="Times New Roman" w:eastAsia="宋体" w:cs="Times New Roman"/>
                      <w:color w:val="auto"/>
                      <w:kern w:val="0"/>
                      <w:sz w:val="21"/>
                      <w:szCs w:val="21"/>
                      <w:lang w:eastAsia="zh-CN"/>
                    </w:rPr>
                    <w:t>、</w:t>
                  </w:r>
                  <w:r>
                    <w:rPr>
                      <w:rFonts w:hint="default" w:ascii="Times New Roman" w:hAnsi="Times New Roman" w:eastAsia="宋体" w:cs="Times New Roman"/>
                      <w:color w:val="auto"/>
                      <w:kern w:val="0"/>
                      <w:sz w:val="21"/>
                      <w:szCs w:val="21"/>
                      <w:lang w:val="en-US" w:eastAsia="zh-CN"/>
                    </w:rPr>
                    <w:t>油基钻井岩屑均</w:t>
                  </w:r>
                  <w:r>
                    <w:rPr>
                      <w:rFonts w:hint="eastAsia" w:cs="Times New Roman"/>
                      <w:color w:val="auto"/>
                      <w:kern w:val="0"/>
                      <w:sz w:val="21"/>
                      <w:szCs w:val="21"/>
                      <w:lang w:val="en-US" w:eastAsia="zh-CN"/>
                    </w:rPr>
                    <w:t>分别</w:t>
                  </w:r>
                  <w:r>
                    <w:rPr>
                      <w:rFonts w:hint="default" w:ascii="Times New Roman" w:hAnsi="Times New Roman" w:eastAsia="宋体" w:cs="Times New Roman"/>
                      <w:color w:val="auto"/>
                      <w:kern w:val="0"/>
                      <w:sz w:val="21"/>
                      <w:szCs w:val="21"/>
                    </w:rPr>
                    <w:t>暂存于罐中，及时</w:t>
                  </w:r>
                  <w:r>
                    <w:rPr>
                      <w:rFonts w:hint="default" w:ascii="Times New Roman" w:hAnsi="Times New Roman" w:eastAsia="宋体" w:cs="Times New Roman"/>
                      <w:color w:val="auto"/>
                      <w:kern w:val="0"/>
                      <w:sz w:val="21"/>
                      <w:szCs w:val="21"/>
                      <w:lang w:val="en-US" w:eastAsia="zh-CN"/>
                    </w:rPr>
                    <w:t>委托</w:t>
                  </w:r>
                  <w:r>
                    <w:rPr>
                      <w:rFonts w:hint="default" w:ascii="Times New Roman" w:hAnsi="Times New Roman" w:eastAsia="宋体" w:cs="Times New Roman"/>
                      <w:color w:val="auto"/>
                      <w:kern w:val="0"/>
                      <w:sz w:val="21"/>
                      <w:szCs w:val="21"/>
                    </w:rPr>
                    <w:t>清运</w:t>
                  </w:r>
                  <w:r>
                    <w:rPr>
                      <w:rFonts w:hint="default" w:ascii="Times New Roman" w:hAnsi="Times New Roman" w:eastAsia="宋体" w:cs="Times New Roman"/>
                      <w:color w:val="auto"/>
                      <w:kern w:val="0"/>
                      <w:sz w:val="21"/>
                      <w:szCs w:val="21"/>
                      <w:lang w:val="en-US" w:eastAsia="zh-CN"/>
                    </w:rPr>
                    <w:t>处置</w:t>
                  </w:r>
                  <w:r>
                    <w:rPr>
                      <w:rFonts w:hint="default" w:ascii="Times New Roman" w:hAnsi="Times New Roman" w:eastAsia="宋体" w:cs="Times New Roman"/>
                      <w:color w:val="auto"/>
                      <w:kern w:val="0"/>
                      <w:sz w:val="21"/>
                      <w:szCs w:val="21"/>
                    </w:rPr>
                    <w:t>；使用符合国家标准的油品，加强机械、车辆的维护；试油期产生的伴生气气量不稳定，经排气管线充分燃烧后放空；加强采出液储罐管理，装卸必须采取密闭装载方式，柴油机、发电机燃料燃烧烟气、施工机械及施工车辆均使用</w:t>
                  </w:r>
                  <w:r>
                    <w:rPr>
                      <w:rFonts w:hint="default" w:ascii="Times New Roman" w:hAnsi="Times New Roman" w:eastAsia="宋体" w:cs="Times New Roman"/>
                      <w:color w:val="auto"/>
                      <w:kern w:val="0"/>
                      <w:sz w:val="21"/>
                      <w:szCs w:val="21"/>
                      <w:lang w:val="en-US" w:eastAsia="zh-CN"/>
                    </w:rPr>
                    <w:t>符合国家相关标准的</w:t>
                  </w:r>
                  <w:r>
                    <w:rPr>
                      <w:rFonts w:hint="default" w:ascii="Times New Roman" w:hAnsi="Times New Roman" w:eastAsia="宋体" w:cs="Times New Roman"/>
                      <w:color w:val="auto"/>
                      <w:kern w:val="0"/>
                      <w:sz w:val="21"/>
                      <w:szCs w:val="21"/>
                    </w:rPr>
                    <w:t>燃油，施工期废气随施工的结束而停止产生</w:t>
                  </w:r>
                </w:p>
              </w:tc>
              <w:tc>
                <w:tcPr>
                  <w:tcW w:w="390" w:type="pct"/>
                  <w:tcBorders>
                    <w:top w:val="single" w:color="auto" w:sz="4" w:space="0"/>
                    <w:left w:val="single" w:color="auto" w:sz="4" w:space="0"/>
                    <w:bottom w:val="single" w:color="auto" w:sz="4" w:space="0"/>
                    <w:right w:val="nil"/>
                  </w:tcBorders>
                  <w:tcMar>
                    <w:top w:w="0" w:type="dxa"/>
                    <w:left w:w="0" w:type="dxa"/>
                    <w:bottom w:w="0" w:type="dxa"/>
                    <w:right w:w="0" w:type="dxa"/>
                  </w:tcMar>
                  <w:vAlign w:val="center"/>
                </w:tcPr>
                <w:p>
                  <w:pPr>
                    <w:adjustRightInd w:val="0"/>
                    <w:snapToGrid w:val="0"/>
                    <w:spacing w:line="30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6" w:type="dxa"/>
                  <w:bottom w:w="0" w:type="dxa"/>
                  <w:right w:w="6" w:type="dxa"/>
                </w:tblCellMar>
              </w:tblPrEx>
              <w:trPr>
                <w:trHeight w:val="340" w:hRule="atLeast"/>
                <w:jc w:val="center"/>
              </w:trPr>
              <w:tc>
                <w:tcPr>
                  <w:tcW w:w="300" w:type="pct"/>
                  <w:tcBorders>
                    <w:top w:val="single" w:color="auto" w:sz="4" w:space="0"/>
                    <w:left w:val="nil"/>
                    <w:bottom w:val="single" w:color="auto" w:sz="12" w:space="0"/>
                    <w:right w:val="single" w:color="auto" w:sz="4" w:space="0"/>
                  </w:tcBorders>
                  <w:tcMar>
                    <w:top w:w="0" w:type="dxa"/>
                    <w:left w:w="0" w:type="dxa"/>
                    <w:bottom w:w="0" w:type="dxa"/>
                    <w:right w:w="0" w:type="dxa"/>
                  </w:tcMar>
                  <w:vAlign w:val="center"/>
                </w:tcPr>
                <w:p>
                  <w:pPr>
                    <w:adjustRightInd w:val="0"/>
                    <w:snapToGrid w:val="0"/>
                    <w:spacing w:line="30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w:t>
                  </w:r>
                </w:p>
              </w:tc>
              <w:tc>
                <w:tcPr>
                  <w:tcW w:w="2508" w:type="pct"/>
                  <w:tcBorders>
                    <w:top w:val="single" w:color="auto" w:sz="4" w:space="0"/>
                    <w:left w:val="single" w:color="auto" w:sz="4" w:space="0"/>
                    <w:bottom w:val="single" w:color="auto" w:sz="12" w:space="0"/>
                    <w:right w:val="single" w:color="auto" w:sz="4" w:space="0"/>
                  </w:tcBorders>
                  <w:tcMar>
                    <w:top w:w="0" w:type="dxa"/>
                    <w:left w:w="0" w:type="dxa"/>
                    <w:bottom w:w="0" w:type="dxa"/>
                    <w:right w:w="0" w:type="dxa"/>
                  </w:tcMar>
                  <w:vAlign w:val="center"/>
                </w:tcPr>
                <w:p>
                  <w:pPr>
                    <w:autoSpaceDE w:val="0"/>
                    <w:autoSpaceDN w:val="0"/>
                    <w:adjustRightInd w:val="0"/>
                    <w:spacing w:line="30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生产运营期产生的废水主要包括井场产生的井下作业废水、站场产生少量含油废水。井下作业严禁废水外排，井下作业废水采用专用废液收集罐收集后拉运至各自区块污水处理系统处理达到《碎屑岩油藏注水水质指标及分析方法》标准后，由各联合站统一调配，不外排进入环境，不会对地表水环境产生环境影响。生产运营期产生的采出水和井下作业废水拉运至各自区块污水处理系统处理，处理达标后回注地层</w:t>
                  </w:r>
                </w:p>
              </w:tc>
              <w:tc>
                <w:tcPr>
                  <w:tcW w:w="1800" w:type="pct"/>
                  <w:tcBorders>
                    <w:top w:val="single" w:color="auto" w:sz="4" w:space="0"/>
                    <w:left w:val="single" w:color="auto" w:sz="4" w:space="0"/>
                    <w:bottom w:val="single" w:color="auto" w:sz="12" w:space="0"/>
                    <w:right w:val="single" w:color="auto" w:sz="4" w:space="0"/>
                  </w:tcBorders>
                  <w:tcMar>
                    <w:top w:w="0" w:type="dxa"/>
                    <w:left w:w="0" w:type="dxa"/>
                    <w:bottom w:w="0" w:type="dxa"/>
                    <w:right w:w="0" w:type="dxa"/>
                  </w:tcMar>
                  <w:vAlign w:val="center"/>
                </w:tcPr>
                <w:p>
                  <w:pPr>
                    <w:adjustRightInd w:val="0"/>
                    <w:snapToGrid w:val="0"/>
                    <w:spacing w:line="30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本项目无运营期，</w:t>
                  </w:r>
                  <w:r>
                    <w:rPr>
                      <w:rFonts w:hint="default" w:ascii="Times New Roman" w:hAnsi="Times New Roman" w:eastAsia="宋体" w:cs="Times New Roman"/>
                      <w:color w:val="auto"/>
                      <w:sz w:val="21"/>
                      <w:szCs w:val="21"/>
                    </w:rPr>
                    <w:t>拟部署井钻试期间洗井废水和压裂返排液由地面储罐收集后，依托石西集中处理站采出水处理系统处理，处理达标后回注油藏</w:t>
                  </w:r>
                </w:p>
              </w:tc>
              <w:tc>
                <w:tcPr>
                  <w:tcW w:w="390" w:type="pct"/>
                  <w:tcBorders>
                    <w:top w:val="single" w:color="auto" w:sz="4" w:space="0"/>
                    <w:left w:val="single" w:color="auto" w:sz="4" w:space="0"/>
                    <w:bottom w:val="single" w:color="auto" w:sz="12" w:space="0"/>
                    <w:right w:val="nil"/>
                  </w:tcBorders>
                  <w:tcMar>
                    <w:top w:w="0" w:type="dxa"/>
                    <w:left w:w="0" w:type="dxa"/>
                    <w:bottom w:w="0" w:type="dxa"/>
                    <w:right w:w="0" w:type="dxa"/>
                  </w:tcMar>
                  <w:vAlign w:val="center"/>
                </w:tcPr>
                <w:p>
                  <w:pPr>
                    <w:adjustRightInd w:val="0"/>
                    <w:snapToGrid w:val="0"/>
                    <w:spacing w:line="30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符合</w:t>
                  </w:r>
                </w:p>
              </w:tc>
            </w:tr>
          </w:tbl>
          <w:p>
            <w:pPr>
              <w:pStyle w:val="56"/>
              <w:bidi w:val="0"/>
              <w:spacing w:line="240" w:lineRule="auto"/>
              <w:rPr>
                <w:rFonts w:hint="eastAsia"/>
                <w:color w:val="auto"/>
              </w:rPr>
            </w:pPr>
            <w:bookmarkStart w:id="12" w:name="_Hlk188376208"/>
          </w:p>
          <w:p>
            <w:pPr>
              <w:pStyle w:val="56"/>
              <w:bidi w:val="0"/>
              <w:spacing w:line="240" w:lineRule="auto"/>
              <w:rPr>
                <w:rFonts w:hint="eastAsia"/>
                <w:color w:val="auto"/>
              </w:rPr>
            </w:pPr>
            <w:r>
              <w:rPr>
                <w:rFonts w:hint="eastAsia"/>
                <w:color w:val="auto"/>
              </w:rPr>
              <w:t>表</w:t>
            </w:r>
            <w:r>
              <w:rPr>
                <w:rFonts w:hint="eastAsia" w:ascii="Times New Roman" w:eastAsia="宋体"/>
                <w:color w:val="auto"/>
                <w:lang w:val="en-US" w:eastAsia="zh-CN"/>
              </w:rPr>
              <w:t xml:space="preserve">1-3  </w:t>
            </w:r>
            <w:r>
              <w:rPr>
                <w:rFonts w:hint="eastAsia"/>
                <w:color w:val="auto"/>
              </w:rPr>
              <w:t>项目与《新疆油田公司“十四五”发展规划环境影响报告书》</w:t>
            </w:r>
          </w:p>
          <w:p>
            <w:pPr>
              <w:pStyle w:val="56"/>
              <w:bidi w:val="0"/>
              <w:spacing w:line="240" w:lineRule="auto"/>
              <w:rPr>
                <w:rFonts w:hint="eastAsia"/>
                <w:color w:val="auto"/>
              </w:rPr>
            </w:pPr>
            <w:r>
              <w:rPr>
                <w:rFonts w:hint="eastAsia"/>
                <w:color w:val="auto"/>
              </w:rPr>
              <w:t>审查意见符合性分析</w:t>
            </w:r>
          </w:p>
          <w:bookmarkEnd w:id="12"/>
          <w:tbl>
            <w:tblPr>
              <w:tblStyle w:val="27"/>
              <w:tblW w:w="4995"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05"/>
              <w:gridCol w:w="3825"/>
              <w:gridCol w:w="3288"/>
              <w:gridCol w:w="76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301" w:type="pct"/>
                  <w:tcMar>
                    <w:left w:w="0" w:type="dxa"/>
                    <w:right w:w="0" w:type="dxa"/>
                  </w:tcMar>
                  <w:vAlign w:val="center"/>
                </w:tcPr>
                <w:p>
                  <w:pPr>
                    <w:adjustRightInd w:val="0"/>
                    <w:snapToGrid w:val="0"/>
                    <w:spacing w:line="300" w:lineRule="exact"/>
                    <w:jc w:val="center"/>
                    <w:rPr>
                      <w:rFonts w:hint="eastAsia" w:ascii="宋体" w:hAnsi="宋体" w:eastAsia="宋体" w:cs="Times New Roman"/>
                      <w:color w:val="auto"/>
                      <w:kern w:val="0"/>
                      <w:sz w:val="21"/>
                      <w:szCs w:val="21"/>
                    </w:rPr>
                  </w:pPr>
                  <w:r>
                    <w:rPr>
                      <w:rFonts w:hint="eastAsia" w:ascii="宋体" w:hAnsi="宋体" w:eastAsia="宋体" w:cs="Times New Roman"/>
                      <w:color w:val="auto"/>
                      <w:kern w:val="0"/>
                      <w:sz w:val="21"/>
                      <w:szCs w:val="21"/>
                      <w:lang w:bidi="ar"/>
                    </w:rPr>
                    <w:t>序号</w:t>
                  </w:r>
                </w:p>
              </w:tc>
              <w:tc>
                <w:tcPr>
                  <w:tcW w:w="2280" w:type="pct"/>
                  <w:tcMar>
                    <w:left w:w="0" w:type="dxa"/>
                    <w:right w:w="0" w:type="dxa"/>
                  </w:tcMar>
                  <w:vAlign w:val="center"/>
                </w:tcPr>
                <w:p>
                  <w:pPr>
                    <w:adjustRightInd w:val="0"/>
                    <w:snapToGrid w:val="0"/>
                    <w:spacing w:line="300" w:lineRule="exact"/>
                    <w:jc w:val="center"/>
                    <w:rPr>
                      <w:rFonts w:hint="eastAsia" w:ascii="宋体" w:hAnsi="宋体" w:eastAsia="宋体" w:cs="Times New Roman"/>
                      <w:color w:val="auto"/>
                      <w:kern w:val="0"/>
                      <w:sz w:val="21"/>
                      <w:szCs w:val="21"/>
                    </w:rPr>
                  </w:pPr>
                  <w:r>
                    <w:rPr>
                      <w:rFonts w:hint="eastAsia" w:ascii="宋体" w:hAnsi="宋体" w:eastAsia="宋体" w:cs="Times New Roman"/>
                      <w:color w:val="auto"/>
                      <w:kern w:val="0"/>
                      <w:sz w:val="21"/>
                      <w:szCs w:val="21"/>
                      <w:lang w:bidi="ar"/>
                    </w:rPr>
                    <w:t>规划环评审查意见</w:t>
                  </w:r>
                </w:p>
              </w:tc>
              <w:tc>
                <w:tcPr>
                  <w:tcW w:w="1960" w:type="pct"/>
                  <w:tcMar>
                    <w:left w:w="0" w:type="dxa"/>
                    <w:right w:w="0" w:type="dxa"/>
                  </w:tcMar>
                  <w:vAlign w:val="center"/>
                </w:tcPr>
                <w:p>
                  <w:pPr>
                    <w:adjustRightInd w:val="0"/>
                    <w:snapToGrid w:val="0"/>
                    <w:spacing w:line="300" w:lineRule="exact"/>
                    <w:jc w:val="center"/>
                    <w:rPr>
                      <w:rFonts w:hint="eastAsia" w:ascii="宋体" w:hAnsi="宋体" w:eastAsia="宋体" w:cs="Times New Roman"/>
                      <w:color w:val="auto"/>
                      <w:kern w:val="0"/>
                      <w:sz w:val="21"/>
                      <w:szCs w:val="21"/>
                    </w:rPr>
                  </w:pPr>
                  <w:r>
                    <w:rPr>
                      <w:rFonts w:hint="eastAsia" w:ascii="宋体" w:hAnsi="宋体" w:eastAsia="宋体" w:cs="Times New Roman"/>
                      <w:color w:val="auto"/>
                      <w:kern w:val="0"/>
                      <w:sz w:val="21"/>
                      <w:szCs w:val="21"/>
                      <w:lang w:bidi="ar"/>
                    </w:rPr>
                    <w:t>拟采取的相关措施</w:t>
                  </w:r>
                </w:p>
              </w:tc>
              <w:tc>
                <w:tcPr>
                  <w:tcW w:w="457" w:type="pct"/>
                  <w:tcMar>
                    <w:left w:w="0" w:type="dxa"/>
                    <w:right w:w="0" w:type="dxa"/>
                  </w:tcMar>
                  <w:vAlign w:val="center"/>
                </w:tcPr>
                <w:p>
                  <w:pPr>
                    <w:widowControl/>
                    <w:adjustRightInd w:val="0"/>
                    <w:snapToGrid w:val="0"/>
                    <w:spacing w:line="300" w:lineRule="exact"/>
                    <w:contextualSpacing/>
                    <w:jc w:val="center"/>
                    <w:rPr>
                      <w:rFonts w:hint="eastAsia" w:ascii="宋体" w:hAnsi="宋体" w:eastAsia="宋体" w:cs="Times New Roman"/>
                      <w:color w:val="auto"/>
                      <w:kern w:val="0"/>
                      <w:sz w:val="21"/>
                      <w:szCs w:val="21"/>
                    </w:rPr>
                  </w:pPr>
                  <w:r>
                    <w:rPr>
                      <w:rFonts w:hint="eastAsia" w:ascii="Times New Roman" w:hAnsi="Times New Roman" w:eastAsia="宋体" w:cs="Times New Roman"/>
                      <w:color w:val="auto"/>
                      <w:kern w:val="2"/>
                      <w:sz w:val="21"/>
                      <w:szCs w:val="21"/>
                      <w:lang w:val="en-US" w:eastAsia="zh-CN" w:bidi="ar-SA"/>
                    </w:rPr>
                    <w:t>符合性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01" w:type="pct"/>
                  <w:tcMar>
                    <w:left w:w="0" w:type="dxa"/>
                    <w:right w:w="0" w:type="dxa"/>
                  </w:tcMar>
                  <w:vAlign w:val="center"/>
                </w:tcPr>
                <w:p>
                  <w:pPr>
                    <w:adjustRightInd w:val="0"/>
                    <w:snapToGrid w:val="0"/>
                    <w:spacing w:line="30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bidi="ar"/>
                    </w:rPr>
                    <w:t>1</w:t>
                  </w:r>
                </w:p>
              </w:tc>
              <w:tc>
                <w:tcPr>
                  <w:tcW w:w="2280" w:type="pct"/>
                  <w:tcMar>
                    <w:left w:w="0" w:type="dxa"/>
                    <w:right w:w="0" w:type="dxa"/>
                  </w:tcMar>
                  <w:vAlign w:val="center"/>
                </w:tcPr>
                <w:p>
                  <w:pPr>
                    <w:autoSpaceDE w:val="0"/>
                    <w:autoSpaceDN w:val="0"/>
                    <w:adjustRightInd w:val="0"/>
                    <w:snapToGrid w:val="0"/>
                    <w:spacing w:line="300" w:lineRule="exac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严守生态保护红线，加强空间管控。坚持以习近平生态文明思想为指导，严守生态保护红线，严格维护区域主导生态功能，积极推动绿色发展，促进人与自然和谐共生。主动对接国土空间规划，进一步做好与“三线一单”生态环境分区管控方案、主体功能区划、生态功能区划等有关要求的有序衔接和细化分解，严格落实各项生态环境保护要求，协同推进石油天然气开发和生态环境保护相协调，切实维护区域生态系统的完整性和稳定性。加强规划区内环境敏感区和重要环境保护目标的生态环境保护工作，开展项目环评时应将油气开发对环境敏感区影响作为重点评价内容，并采取合理、有效的保护措施，确保规划涉及环境敏感区和重要环境保护目标不因油气开发而造成环境污染和生态破坏。</w:t>
                  </w:r>
                </w:p>
              </w:tc>
              <w:tc>
                <w:tcPr>
                  <w:tcW w:w="1960" w:type="pct"/>
                  <w:tcMar>
                    <w:left w:w="0" w:type="dxa"/>
                    <w:right w:w="0" w:type="dxa"/>
                  </w:tcMar>
                  <w:vAlign w:val="center"/>
                </w:tcPr>
                <w:p>
                  <w:pPr>
                    <w:adjustRightInd w:val="0"/>
                    <w:snapToGrid w:val="0"/>
                    <w:spacing w:line="300" w:lineRule="exac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本项目不涉及生态敏感区，不涉及生态保护红线，建设符合“三线一单”、《新疆维吾尔自治区主体功能区规划》要求；本项目</w:t>
                  </w:r>
                  <w:r>
                    <w:rPr>
                      <w:rFonts w:hint="default" w:ascii="Times New Roman" w:hAnsi="Times New Roman" w:eastAsia="宋体" w:cs="Times New Roman"/>
                      <w:color w:val="auto"/>
                      <w:sz w:val="21"/>
                      <w:szCs w:val="21"/>
                    </w:rPr>
                    <w:t>施工期较短，</w:t>
                  </w:r>
                  <w:r>
                    <w:rPr>
                      <w:rFonts w:hint="default" w:ascii="Times New Roman" w:hAnsi="Times New Roman" w:eastAsia="宋体" w:cs="Times New Roman"/>
                      <w:color w:val="auto"/>
                      <w:kern w:val="0"/>
                      <w:sz w:val="21"/>
                      <w:szCs w:val="21"/>
                    </w:rPr>
                    <w:t>对易起尘物料进行遮盖、加强车辆管理等措施；柴油储罐采用固定顶罐；岩屑暂存于罐中，及时清运；使用符合国家标准的油品，加强机械、车辆的维护；试油期产生的伴生气气量不稳定，经排气管线充分燃烧后放空；加强采出液储罐管理，装</w:t>
                  </w:r>
                  <w:bookmarkStart w:id="13" w:name="OLE_LINK39"/>
                  <w:r>
                    <w:rPr>
                      <w:rFonts w:hint="default" w:ascii="Times New Roman" w:hAnsi="Times New Roman" w:eastAsia="宋体" w:cs="Times New Roman"/>
                      <w:color w:val="auto"/>
                      <w:kern w:val="0"/>
                      <w:sz w:val="21"/>
                      <w:szCs w:val="21"/>
                    </w:rPr>
                    <w:t>卸必须采取密闭装载方式</w:t>
                  </w:r>
                  <w:bookmarkEnd w:id="13"/>
                  <w:r>
                    <w:rPr>
                      <w:rFonts w:hint="default" w:ascii="Times New Roman" w:hAnsi="Times New Roman" w:eastAsia="宋体" w:cs="Times New Roman"/>
                      <w:color w:val="auto"/>
                      <w:kern w:val="0"/>
                      <w:sz w:val="21"/>
                      <w:szCs w:val="21"/>
                    </w:rPr>
                    <w:t>，柴油机、发电机燃料燃烧烟气、施工机械及施工车辆均使用高质量燃油，施工期废气随施工的结束而停止产生，且周围扩散条件良好；采用低噪声设备；加强设备维护及保养，对噪声较大的设备采取基础减震措施；加强施工场地管理，合理疏导进入施工区的车辆，禁止运输车辆随意高声鸣笛；加上施工噪声是暂时的、不连续的，待施工结束后影响将消失，对区域环境影响不大。在满足勘探设计和施工要求的前提下，对井场、生活营地位置及探临路等临时占地进行适当调整，尽量避开野生植物生长密集地带和减少占地。施工结束后及时对临时占地进行清理平整，植被自然恢复。</w:t>
                  </w:r>
                </w:p>
              </w:tc>
              <w:tc>
                <w:tcPr>
                  <w:tcW w:w="457" w:type="pct"/>
                  <w:tcMar>
                    <w:left w:w="0" w:type="dxa"/>
                    <w:right w:w="0" w:type="dxa"/>
                  </w:tcMar>
                  <w:vAlign w:val="center"/>
                </w:tcPr>
                <w:p>
                  <w:pPr>
                    <w:adjustRightInd w:val="0"/>
                    <w:snapToGrid w:val="0"/>
                    <w:spacing w:line="30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01" w:type="pct"/>
                  <w:tcMar>
                    <w:left w:w="0" w:type="dxa"/>
                    <w:right w:w="0" w:type="dxa"/>
                  </w:tcMar>
                  <w:vAlign w:val="center"/>
                </w:tcPr>
                <w:p>
                  <w:pPr>
                    <w:adjustRightInd w:val="0"/>
                    <w:snapToGrid w:val="0"/>
                    <w:spacing w:line="300" w:lineRule="exact"/>
                    <w:jc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2</w:t>
                  </w:r>
                </w:p>
              </w:tc>
              <w:tc>
                <w:tcPr>
                  <w:tcW w:w="2280" w:type="pct"/>
                  <w:tcMar>
                    <w:left w:w="0" w:type="dxa"/>
                    <w:right w:w="0" w:type="dxa"/>
                  </w:tcMar>
                  <w:vAlign w:val="center"/>
                </w:tcPr>
                <w:p>
                  <w:pPr>
                    <w:autoSpaceDE w:val="0"/>
                    <w:autoSpaceDN w:val="0"/>
                    <w:adjustRightInd w:val="0"/>
                    <w:snapToGrid w:val="0"/>
                    <w:spacing w:line="300" w:lineRule="exac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二）合理确定开发方案，优化开发布局。根据区域主体功能定位，结合区域资源环境特征、生态保护红线等相关管控要求，依据生态环境影响评价结果，从穿越位置、穿越方式、施工场地设置、管线工艺设计、环境风险防范等方面对规划建设油气长输管道工程及油气田内部集输管道工程选址选线提出要求，进一步优化石油天然气开采规模、开发布局和建设时序，优先避让环境敏感区，远离沿线居民。总结石油天然气开发过程对生态环境影响和保护经验，及时进行优化调整。</w:t>
                  </w:r>
                </w:p>
              </w:tc>
              <w:tc>
                <w:tcPr>
                  <w:tcW w:w="1960" w:type="pct"/>
                  <w:tcMar>
                    <w:left w:w="0" w:type="dxa"/>
                    <w:right w:w="0" w:type="dxa"/>
                  </w:tcMar>
                  <w:vAlign w:val="center"/>
                </w:tcPr>
                <w:p>
                  <w:pPr>
                    <w:adjustRightInd w:val="0"/>
                    <w:snapToGrid w:val="0"/>
                    <w:spacing w:line="30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本项目井场、生活营地位置及探临道路等临时占地</w:t>
                  </w:r>
                  <w:r>
                    <w:rPr>
                      <w:rFonts w:hint="eastAsia" w:cs="Times New Roman"/>
                      <w:color w:val="auto"/>
                      <w:kern w:val="0"/>
                      <w:sz w:val="21"/>
                      <w:szCs w:val="21"/>
                      <w:lang w:val="en-US" w:eastAsia="zh-CN"/>
                    </w:rPr>
                    <w:t>是钻前施工时应</w:t>
                  </w:r>
                  <w:r>
                    <w:rPr>
                      <w:rFonts w:hint="default" w:ascii="Times New Roman" w:hAnsi="Times New Roman" w:eastAsia="宋体" w:cs="Times New Roman"/>
                      <w:color w:val="auto"/>
                      <w:kern w:val="0"/>
                      <w:sz w:val="21"/>
                      <w:szCs w:val="21"/>
                    </w:rPr>
                    <w:t>适当调整，尽量避开野生植物生长</w:t>
                  </w:r>
                  <w:r>
                    <w:rPr>
                      <w:rFonts w:hint="eastAsia" w:cs="Times New Roman"/>
                      <w:color w:val="auto"/>
                      <w:kern w:val="0"/>
                      <w:sz w:val="21"/>
                      <w:szCs w:val="21"/>
                      <w:lang w:val="en-US" w:eastAsia="zh-CN"/>
                    </w:rPr>
                    <w:t>相对</w:t>
                  </w:r>
                  <w:r>
                    <w:rPr>
                      <w:rFonts w:hint="default" w:ascii="Times New Roman" w:hAnsi="Times New Roman" w:eastAsia="宋体" w:cs="Times New Roman"/>
                      <w:color w:val="auto"/>
                      <w:kern w:val="0"/>
                      <w:sz w:val="21"/>
                      <w:szCs w:val="21"/>
                    </w:rPr>
                    <w:t>密集</w:t>
                  </w:r>
                  <w:r>
                    <w:rPr>
                      <w:rFonts w:hint="eastAsia" w:cs="Times New Roman"/>
                      <w:color w:val="auto"/>
                      <w:kern w:val="0"/>
                      <w:sz w:val="21"/>
                      <w:szCs w:val="21"/>
                      <w:lang w:val="en-US" w:eastAsia="zh-CN"/>
                    </w:rPr>
                    <w:t>的</w:t>
                  </w:r>
                  <w:r>
                    <w:rPr>
                      <w:rFonts w:hint="default" w:ascii="Times New Roman" w:hAnsi="Times New Roman" w:eastAsia="宋体" w:cs="Times New Roman"/>
                      <w:color w:val="auto"/>
                      <w:kern w:val="0"/>
                      <w:sz w:val="21"/>
                      <w:szCs w:val="21"/>
                    </w:rPr>
                    <w:t>地带</w:t>
                  </w:r>
                  <w:r>
                    <w:rPr>
                      <w:rFonts w:hint="eastAsia" w:cs="Times New Roman"/>
                      <w:color w:val="auto"/>
                      <w:kern w:val="0"/>
                      <w:sz w:val="21"/>
                      <w:szCs w:val="21"/>
                      <w:lang w:eastAsia="zh-CN"/>
                    </w:rPr>
                    <w:t>，</w:t>
                  </w:r>
                  <w:r>
                    <w:rPr>
                      <w:rFonts w:hint="eastAsia" w:cs="Times New Roman"/>
                      <w:color w:val="auto"/>
                      <w:kern w:val="0"/>
                      <w:sz w:val="21"/>
                      <w:szCs w:val="21"/>
                      <w:lang w:val="en-US" w:eastAsia="zh-CN"/>
                    </w:rPr>
                    <w:t>严格控制</w:t>
                  </w:r>
                  <w:r>
                    <w:rPr>
                      <w:rFonts w:hint="default" w:ascii="Times New Roman" w:hAnsi="Times New Roman" w:eastAsia="宋体" w:cs="Times New Roman"/>
                      <w:color w:val="auto"/>
                      <w:kern w:val="0"/>
                      <w:sz w:val="21"/>
                      <w:szCs w:val="21"/>
                    </w:rPr>
                    <w:t>占地</w:t>
                  </w:r>
                </w:p>
              </w:tc>
              <w:tc>
                <w:tcPr>
                  <w:tcW w:w="457" w:type="pct"/>
                  <w:tcMar>
                    <w:left w:w="0" w:type="dxa"/>
                    <w:right w:w="0" w:type="dxa"/>
                  </w:tcMar>
                  <w:vAlign w:val="center"/>
                </w:tcPr>
                <w:p>
                  <w:pPr>
                    <w:adjustRightInd w:val="0"/>
                    <w:snapToGrid w:val="0"/>
                    <w:spacing w:line="30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01" w:type="pct"/>
                  <w:tcMar>
                    <w:left w:w="0" w:type="dxa"/>
                    <w:right w:w="0" w:type="dxa"/>
                  </w:tcMar>
                  <w:vAlign w:val="center"/>
                </w:tcPr>
                <w:p>
                  <w:pPr>
                    <w:adjustRightInd w:val="0"/>
                    <w:snapToGrid w:val="0"/>
                    <w:spacing w:line="300" w:lineRule="exact"/>
                    <w:jc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3</w:t>
                  </w:r>
                </w:p>
              </w:tc>
              <w:tc>
                <w:tcPr>
                  <w:tcW w:w="2280" w:type="pct"/>
                  <w:tcMar>
                    <w:left w:w="0" w:type="dxa"/>
                    <w:right w:w="0" w:type="dxa"/>
                  </w:tcMar>
                  <w:vAlign w:val="center"/>
                </w:tcPr>
                <w:p>
                  <w:pPr>
                    <w:autoSpaceDE w:val="0"/>
                    <w:autoSpaceDN w:val="0"/>
                    <w:adjustRightInd w:val="0"/>
                    <w:snapToGrid w:val="0"/>
                    <w:spacing w:line="300" w:lineRule="exac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三）严格生态环境保护，强化各类污染物防治。针对规划实施可能出现的累积性、长期性生态环境问题，采取积极有效的生态复垦和生态恢复措施，确保实现《报告书》提出的各项生态恢复治理要求，有效减缓规划区生态环境退化趋势。根据油气开采产业政策和生态环境保护政策要求，严格落实资源环境指标要求，进一步控制污染物排放以及能源消耗水平，对油气开采产生的废弃油基泥浆、含油钻屑及其他固体废物，提出减量化的源头控制措施、资源化的利用路径、无害化的处理要求，按照国家和地方有关固体废物的管理规定进行处置，提高废弃油基泥浆和含油钻屑及其处理产物的综合利用率。根据油气开采产业政策和生态环境保护政策要求，严格落实资源环境指标要求，进一步控制污染物排放以及能源消耗水平。油气开采、输送、储存、净化等过程及非正常工况应加强挥发性有机物等污染物排放控制，确保满足区域环境空气质量要求。加强开采废水污染控制，涉及回注的应经处理满足《碎屑岩油藏注水水质推荐指标及分析方法》（ SY/T5329）等相关标准要求，采取切实可行的地下水污染防治和监控措施，防止造成地下水污染。油气开采过程中产生的固体废物，应当遵循减量化、资源化、无害化原则，合规处置。加强伴生气、落地油、采出水等回收利用，提高综合利用水平。</w:t>
                  </w:r>
                </w:p>
              </w:tc>
              <w:tc>
                <w:tcPr>
                  <w:tcW w:w="1960" w:type="pct"/>
                  <w:tcMar>
                    <w:left w:w="0" w:type="dxa"/>
                    <w:right w:w="0" w:type="dxa"/>
                  </w:tcMar>
                  <w:vAlign w:val="center"/>
                </w:tcPr>
                <w:p>
                  <w:pPr>
                    <w:adjustRightInd w:val="0"/>
                    <w:snapToGrid w:val="0"/>
                    <w:spacing w:line="300" w:lineRule="exac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rPr>
                    <w:t>本项目采取的生态恢复措施符合规划环评报告书的要求，水基钻井岩屑由岩屑处置单位处置，</w:t>
                  </w:r>
                  <w:r>
                    <w:rPr>
                      <w:rFonts w:hint="default" w:ascii="Times New Roman" w:hAnsi="Times New Roman" w:eastAsia="宋体" w:cs="Times New Roman"/>
                      <w:color w:val="auto"/>
                      <w:sz w:val="21"/>
                      <w:szCs w:val="21"/>
                      <w:lang w:val="en-US" w:eastAsia="zh-CN"/>
                    </w:rPr>
                    <w:t>油基岩屑、</w:t>
                  </w:r>
                  <w:r>
                    <w:rPr>
                      <w:rFonts w:hint="default" w:ascii="Times New Roman" w:hAnsi="Times New Roman" w:eastAsia="宋体" w:cs="Times New Roman"/>
                      <w:color w:val="auto"/>
                      <w:sz w:val="21"/>
                      <w:szCs w:val="21"/>
                    </w:rPr>
                    <w:t>废润滑油、废润滑油桶和沾油废防渗材料交由具有相应危险废物处置资质的单位</w:t>
                  </w:r>
                  <w:r>
                    <w:rPr>
                      <w:rFonts w:hint="default" w:ascii="Times New Roman" w:hAnsi="Times New Roman" w:eastAsia="宋体" w:cs="Times New Roman"/>
                      <w:color w:val="auto"/>
                      <w:sz w:val="21"/>
                      <w:szCs w:val="21"/>
                      <w:lang w:val="en-US" w:eastAsia="zh-CN"/>
                    </w:rPr>
                    <w:t>接收、转运和</w:t>
                  </w:r>
                  <w:r>
                    <w:rPr>
                      <w:rFonts w:hint="default" w:ascii="Times New Roman" w:hAnsi="Times New Roman" w:eastAsia="宋体" w:cs="Times New Roman"/>
                      <w:color w:val="auto"/>
                      <w:sz w:val="21"/>
                      <w:szCs w:val="21"/>
                    </w:rPr>
                    <w:t>处置，生活垃圾清运至</w:t>
                  </w:r>
                  <w:r>
                    <w:rPr>
                      <w:rFonts w:hint="default" w:ascii="Times New Roman" w:hAnsi="Times New Roman" w:eastAsia="宋体" w:cs="Times New Roman"/>
                      <w:color w:val="auto"/>
                      <w:sz w:val="21"/>
                      <w:szCs w:val="21"/>
                      <w:lang w:val="en-US" w:eastAsia="zh-CN" w:bidi="ar"/>
                    </w:rPr>
                    <w:t>呼图壁县</w:t>
                  </w:r>
                  <w:r>
                    <w:rPr>
                      <w:rFonts w:hint="default" w:ascii="Times New Roman" w:hAnsi="Times New Roman" w:eastAsia="宋体" w:cs="Times New Roman"/>
                      <w:color w:val="auto"/>
                      <w:sz w:val="21"/>
                      <w:szCs w:val="21"/>
                      <w:lang w:bidi="ar"/>
                    </w:rPr>
                    <w:t>生活垃圾填埋场</w:t>
                  </w:r>
                  <w:r>
                    <w:rPr>
                      <w:rFonts w:hint="default" w:ascii="Times New Roman" w:hAnsi="Times New Roman" w:eastAsia="宋体" w:cs="Times New Roman"/>
                      <w:color w:val="auto"/>
                      <w:sz w:val="21"/>
                      <w:szCs w:val="21"/>
                      <w:lang w:val="en-US" w:eastAsia="zh-CN" w:bidi="ar"/>
                    </w:rPr>
                    <w:t>填埋</w:t>
                  </w:r>
                  <w:r>
                    <w:rPr>
                      <w:rFonts w:hint="default" w:ascii="Times New Roman" w:hAnsi="Times New Roman" w:eastAsia="宋体" w:cs="Times New Roman"/>
                      <w:color w:val="auto"/>
                      <w:sz w:val="21"/>
                      <w:szCs w:val="21"/>
                      <w:lang w:bidi="ar"/>
                    </w:rPr>
                    <w:t>处置</w:t>
                  </w:r>
                  <w:r>
                    <w:rPr>
                      <w:rFonts w:hint="default" w:ascii="Times New Roman" w:hAnsi="Times New Roman" w:eastAsia="宋体" w:cs="Times New Roman"/>
                      <w:color w:val="auto"/>
                      <w:sz w:val="21"/>
                      <w:szCs w:val="21"/>
                    </w:rPr>
                    <w:t>，建筑垃圾收集后送至当地建筑垃圾填埋场处理；产生的各类固体废物均得到合规处置；钻试井场和生活营地采取了相应的分区防渗措施；加强采出液储罐管理，装卸必须采取密闭装载方式，以减少无组织非甲烷总烃的排放；试油期产生的伴生气气量不稳定，经排气管线充分燃烧后放空；钻试期间洗井废水和压裂返排液由地面储罐收集后，依托石西集中处理站采出水处理系统处理，处理达标后回注油藏。</w:t>
                  </w:r>
                </w:p>
              </w:tc>
              <w:tc>
                <w:tcPr>
                  <w:tcW w:w="457" w:type="pct"/>
                  <w:tcMar>
                    <w:left w:w="0" w:type="dxa"/>
                    <w:right w:w="0" w:type="dxa"/>
                  </w:tcMar>
                  <w:vAlign w:val="center"/>
                </w:tcPr>
                <w:p>
                  <w:pPr>
                    <w:adjustRightInd w:val="0"/>
                    <w:snapToGrid w:val="0"/>
                    <w:spacing w:line="30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01" w:type="pct"/>
                  <w:tcMar>
                    <w:left w:w="0" w:type="dxa"/>
                    <w:right w:w="0" w:type="dxa"/>
                  </w:tcMar>
                  <w:vAlign w:val="center"/>
                </w:tcPr>
                <w:p>
                  <w:pPr>
                    <w:adjustRightInd w:val="0"/>
                    <w:snapToGrid w:val="0"/>
                    <w:spacing w:line="300" w:lineRule="exact"/>
                    <w:jc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4</w:t>
                  </w:r>
                </w:p>
              </w:tc>
              <w:tc>
                <w:tcPr>
                  <w:tcW w:w="2280" w:type="pct"/>
                  <w:tcMar>
                    <w:left w:w="0" w:type="dxa"/>
                    <w:right w:w="0" w:type="dxa"/>
                  </w:tcMar>
                  <w:vAlign w:val="center"/>
                </w:tcPr>
                <w:p>
                  <w:pPr>
                    <w:autoSpaceDE w:val="0"/>
                    <w:autoSpaceDN w:val="0"/>
                    <w:adjustRightInd w:val="0"/>
                    <w:snapToGrid w:val="0"/>
                    <w:spacing w:line="300" w:lineRule="exac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四）加强生态环境系统治理，维护生态安全。坚持节约优先、保护优先、自然恢复为主，统筹推进山水林田湖草沙一体化保护和系统治理，守住自然生态安全边界。严格控制油气田开发扰动范围，加大生态治理力度，结合油气开采绿色矿山建设等相关要求，落实各项生态环境保护措施，保障区域生态功能不退化。油气开发应同步制定并落实生态保护和修复方案，综合考虑防沙治沙等相关要求，因地制宜开展生态恢复治理工作。</w:t>
                  </w:r>
                </w:p>
              </w:tc>
              <w:tc>
                <w:tcPr>
                  <w:tcW w:w="1960" w:type="pct"/>
                  <w:tcMar>
                    <w:left w:w="0" w:type="dxa"/>
                    <w:right w:w="0" w:type="dxa"/>
                  </w:tcMar>
                  <w:vAlign w:val="center"/>
                </w:tcPr>
                <w:p>
                  <w:pPr>
                    <w:adjustRightInd w:val="0"/>
                    <w:snapToGrid w:val="0"/>
                    <w:spacing w:line="300" w:lineRule="exac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rPr>
                    <w:t>根据试采结果决定新钻井是否转为生产井，若可转为生产井，则应当在产能开发建设前对其开展环境影响评价工作，编制环境影响评价文件。若不具备转产条件，则应根据《废弃井封井回填技术指南（试行）》《废弃井及长停井处置指南》（SY/T6646-2017）、《陆上石油天然气生产环境保护推荐作法》（SY/T6628-2005）、《矿山生态环境保护与恢复治理技术规范（试行）》（HJ651-2013）和</w:t>
                  </w:r>
                  <w:r>
                    <w:rPr>
                      <w:rFonts w:hint="default" w:ascii="Times New Roman" w:hAnsi="Times New Roman" w:cs="Times New Roman"/>
                      <w:color w:val="auto"/>
                      <w:sz w:val="21"/>
                      <w:szCs w:val="21"/>
                      <w:lang w:val="en-US" w:eastAsia="zh-CN"/>
                    </w:rPr>
                    <w:t>中国石油天然气股份有限公司</w:t>
                  </w:r>
                  <w:r>
                    <w:rPr>
                      <w:rFonts w:hint="default" w:ascii="Times New Roman" w:hAnsi="Times New Roman" w:eastAsia="宋体" w:cs="Times New Roman"/>
                      <w:color w:val="auto"/>
                      <w:sz w:val="21"/>
                      <w:szCs w:val="21"/>
                    </w:rPr>
                    <w:t>的相关要求进行封井，并拆除相关设施，确保无土壤及地下水环境污染遗留问题、废弃物均得到妥善处置，制定生态恢复方案，报告中提出了相应的生态保护和恢复措施</w:t>
                  </w:r>
                </w:p>
              </w:tc>
              <w:tc>
                <w:tcPr>
                  <w:tcW w:w="457" w:type="pct"/>
                  <w:tcMar>
                    <w:left w:w="0" w:type="dxa"/>
                    <w:right w:w="0" w:type="dxa"/>
                  </w:tcMar>
                  <w:vAlign w:val="center"/>
                </w:tcPr>
                <w:p>
                  <w:pPr>
                    <w:adjustRightInd w:val="0"/>
                    <w:snapToGrid w:val="0"/>
                    <w:spacing w:line="30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01" w:type="pct"/>
                  <w:tcMar>
                    <w:left w:w="0" w:type="dxa"/>
                    <w:right w:w="0" w:type="dxa"/>
                  </w:tcMar>
                  <w:vAlign w:val="center"/>
                </w:tcPr>
                <w:p>
                  <w:pPr>
                    <w:adjustRightInd w:val="0"/>
                    <w:snapToGrid w:val="0"/>
                    <w:spacing w:line="300" w:lineRule="exact"/>
                    <w:jc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5</w:t>
                  </w:r>
                </w:p>
              </w:tc>
              <w:tc>
                <w:tcPr>
                  <w:tcW w:w="2280" w:type="pct"/>
                  <w:tcMar>
                    <w:left w:w="0" w:type="dxa"/>
                    <w:right w:w="0" w:type="dxa"/>
                  </w:tcMar>
                  <w:vAlign w:val="center"/>
                </w:tcPr>
                <w:p>
                  <w:pPr>
                    <w:autoSpaceDE w:val="0"/>
                    <w:autoSpaceDN w:val="0"/>
                    <w:adjustRightInd w:val="0"/>
                    <w:snapToGrid w:val="0"/>
                    <w:spacing w:line="300" w:lineRule="exac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六）加强油气开发事中事后环境管理。油气企业应切实落实生态环境保护主体责任，进一步健全生态环境管理和应急管理体系，确保各项生态环境保护和应急防控措施落实到位。建立环境空气、水环境、土壤环境、生态等监测体系，开展长期跟踪监测。根据监测结果，及时优化开发方案，并采取有效的生态环境保护措施。</w:t>
                  </w:r>
                </w:p>
              </w:tc>
              <w:tc>
                <w:tcPr>
                  <w:tcW w:w="1960" w:type="pct"/>
                  <w:tcMar>
                    <w:left w:w="0" w:type="dxa"/>
                    <w:right w:w="0" w:type="dxa"/>
                  </w:tcMar>
                  <w:vAlign w:val="center"/>
                </w:tcPr>
                <w:p>
                  <w:pPr>
                    <w:adjustRightInd w:val="0"/>
                    <w:snapToGrid w:val="0"/>
                    <w:spacing w:line="30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本项目仅有施工期，无运营期</w:t>
                  </w:r>
                </w:p>
              </w:tc>
              <w:tc>
                <w:tcPr>
                  <w:tcW w:w="457" w:type="pct"/>
                  <w:tcMar>
                    <w:left w:w="0" w:type="dxa"/>
                    <w:right w:w="0" w:type="dxa"/>
                  </w:tcMar>
                  <w:vAlign w:val="center"/>
                </w:tcPr>
                <w:p>
                  <w:pPr>
                    <w:adjustRightInd w:val="0"/>
                    <w:snapToGrid w:val="0"/>
                    <w:spacing w:line="300" w:lineRule="exact"/>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符合</w:t>
                  </w:r>
                </w:p>
              </w:tc>
            </w:tr>
          </w:tbl>
          <w:p>
            <w:pPr>
              <w:pStyle w:val="10"/>
              <w:bidi w:val="0"/>
              <w:ind w:firstLine="480" w:firstLineChars="200"/>
              <w:rPr>
                <w:rFonts w:hint="eastAsia" w:ascii="宋体" w:hAnsi="宋体" w:eastAsia="宋体" w:cs="宋体"/>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1049" w:hRule="atLeast"/>
        </w:trPr>
        <w:tc>
          <w:tcPr>
            <w:tcW w:w="193" w:type="pct"/>
            <w:vAlign w:val="center"/>
          </w:tcPr>
          <w:p>
            <w:pPr>
              <w:autoSpaceDE w:val="0"/>
              <w:autoSpaceDN w:val="0"/>
              <w:adjustRightInd w:val="0"/>
              <w:snapToGrid w:val="0"/>
              <w:spacing w:line="300" w:lineRule="exact"/>
              <w:jc w:val="center"/>
              <w:rPr>
                <w:rFonts w:hint="default" w:ascii="Times New Roman" w:hAnsi="Times New Roman" w:cs="Times New Roman"/>
                <w:color w:val="auto"/>
                <w:kern w:val="0"/>
              </w:rPr>
            </w:pPr>
            <w:r>
              <w:rPr>
                <w:rFonts w:hint="default" w:ascii="Times New Roman" w:hAnsi="Times New Roman" w:cs="Times New Roman"/>
                <w:color w:val="auto"/>
              </w:rPr>
              <w:t>其他符合性分析</w:t>
            </w:r>
          </w:p>
        </w:tc>
        <w:tc>
          <w:tcPr>
            <w:tcW w:w="4806" w:type="pct"/>
            <w:gridSpan w:val="5"/>
            <w:vAlign w:val="center"/>
          </w:tcPr>
          <w:p>
            <w:pPr>
              <w:pStyle w:val="54"/>
              <w:numPr>
                <w:ilvl w:val="0"/>
                <w:numId w:val="7"/>
              </w:numPr>
              <w:bidi w:val="0"/>
              <w:ind w:left="9" w:leftChars="0" w:firstLineChars="0"/>
              <w:rPr>
                <w:rFonts w:hint="default"/>
                <w:color w:val="auto"/>
                <w:lang w:val="en-US" w:eastAsia="zh-CN"/>
              </w:rPr>
            </w:pPr>
            <w:r>
              <w:rPr>
                <w:rFonts w:hint="default"/>
                <w:color w:val="auto"/>
                <w:lang w:val="en-US" w:eastAsia="zh-CN"/>
              </w:rPr>
              <w:t>产业政策</w:t>
            </w:r>
          </w:p>
          <w:p>
            <w:pPr>
              <w:widowControl/>
              <w:bidi w:val="0"/>
              <w:snapToGrid w:val="0"/>
              <w:spacing w:line="500" w:lineRule="exact"/>
              <w:ind w:firstLine="480" w:firstLineChars="200"/>
              <w:jc w:val="both"/>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t>本项目属于《产业结构调整指导目录（2024年本）》中的鼓励类——七、石油天然气——1、常规石油、天然气勘探与开采，页岩气、页岩油、致密油（气）、油砂、天然气水合物等非常规资源勘探开发，符合国家产业政策。</w:t>
            </w:r>
          </w:p>
          <w:p>
            <w:pPr>
              <w:pStyle w:val="54"/>
              <w:numPr>
                <w:ilvl w:val="0"/>
                <w:numId w:val="7"/>
              </w:numPr>
              <w:bidi w:val="0"/>
              <w:ind w:left="9" w:leftChars="0" w:firstLineChars="0"/>
              <w:rPr>
                <w:rFonts w:hint="default"/>
                <w:color w:val="auto"/>
                <w:lang w:val="en-US" w:eastAsia="zh-CN"/>
              </w:rPr>
            </w:pPr>
            <w:r>
              <w:rPr>
                <w:rFonts w:hint="eastAsia"/>
                <w:color w:val="auto"/>
                <w:lang w:val="en-US" w:eastAsia="zh-CN"/>
              </w:rPr>
              <w:t>“三线一单”管控要求符合性分析</w:t>
            </w:r>
          </w:p>
          <w:p>
            <w:pPr>
              <w:keepNext w:val="0"/>
              <w:keepLines w:val="0"/>
              <w:pageBreakBefore w:val="0"/>
              <w:widowControl w:val="0"/>
              <w:numPr>
                <w:ilvl w:val="1"/>
                <w:numId w:val="0"/>
              </w:numPr>
              <w:kinsoku/>
              <w:wordWrap/>
              <w:overflowPunct/>
              <w:topLinePunct w:val="0"/>
              <w:autoSpaceDE w:val="0"/>
              <w:autoSpaceDN w:val="0"/>
              <w:bidi w:val="0"/>
              <w:adjustRightInd w:val="0"/>
              <w:snapToGrid w:val="0"/>
              <w:spacing w:line="500" w:lineRule="exact"/>
              <w:ind w:left="0" w:leftChars="0" w:firstLine="480" w:firstLineChars="200"/>
              <w:jc w:val="both"/>
              <w:textAlignment w:val="auto"/>
              <w:rPr>
                <w:rFonts w:hint="default" w:ascii="Times New Roman" w:hAnsi="Times New Roman" w:eastAsia="宋体" w:cs="Times New Roman"/>
                <w:color w:val="auto"/>
                <w:kern w:val="2"/>
                <w:sz w:val="24"/>
                <w:szCs w:val="24"/>
                <w:lang w:val="en-US" w:eastAsia="en-US" w:bidi="ar-SA"/>
              </w:rPr>
            </w:pPr>
            <w:r>
              <w:rPr>
                <w:rFonts w:hint="default" w:ascii="Times New Roman" w:hAnsi="Times New Roman" w:eastAsia="宋体" w:cs="Times New Roman"/>
                <w:color w:val="auto"/>
                <w:kern w:val="2"/>
                <w:sz w:val="24"/>
                <w:szCs w:val="24"/>
                <w:lang w:val="en-US" w:eastAsia="en-US" w:bidi="ar-SA"/>
              </w:rPr>
              <w:t>（1）生态保护红线</w:t>
            </w:r>
          </w:p>
          <w:p>
            <w:pPr>
              <w:pStyle w:val="10"/>
              <w:bidi w:val="0"/>
              <w:rPr>
                <w:rFonts w:hint="default"/>
                <w:color w:val="auto"/>
                <w:lang w:val="en-US" w:eastAsia="zh-CN"/>
              </w:rPr>
            </w:pPr>
            <w:r>
              <w:rPr>
                <w:rFonts w:hint="default"/>
                <w:color w:val="auto"/>
                <w:lang w:val="en-US" w:eastAsia="zh-CN"/>
              </w:rPr>
              <w:t>本项目所在区不属于自然保护区、风景名胜区、居民居住区、学校等环境敏感区，不占用生态保护红线，且距离生态保护红线距离较远，不会对生态保护红线产生影响。项目与生态保护红线的直线距离为2.04km，</w:t>
            </w:r>
            <w:r>
              <w:rPr>
                <w:rFonts w:hint="eastAsia"/>
                <w:color w:val="auto"/>
                <w:lang w:val="en-US" w:eastAsia="zh-CN"/>
              </w:rPr>
              <w:t>此距离满足“距生态保护红线不小于500m”的避让要求。</w:t>
            </w:r>
            <w:r>
              <w:rPr>
                <w:rFonts w:hint="default"/>
                <w:color w:val="auto"/>
                <w:lang w:val="en-US" w:eastAsia="zh-CN"/>
              </w:rPr>
              <w:t>项目与生态保护红线相对位置关系见附图1。</w:t>
            </w:r>
          </w:p>
          <w:p>
            <w:pPr>
              <w:keepNext w:val="0"/>
              <w:keepLines w:val="0"/>
              <w:pageBreakBefore w:val="0"/>
              <w:widowControl w:val="0"/>
              <w:numPr>
                <w:ilvl w:val="1"/>
                <w:numId w:val="0"/>
              </w:numPr>
              <w:kinsoku/>
              <w:wordWrap/>
              <w:overflowPunct/>
              <w:topLinePunct w:val="0"/>
              <w:autoSpaceDE w:val="0"/>
              <w:autoSpaceDN w:val="0"/>
              <w:bidi w:val="0"/>
              <w:adjustRightInd w:val="0"/>
              <w:snapToGrid w:val="0"/>
              <w:spacing w:line="500" w:lineRule="exact"/>
              <w:ind w:left="0" w:leftChars="0" w:firstLine="480" w:firstLineChars="200"/>
              <w:jc w:val="both"/>
              <w:textAlignment w:val="auto"/>
              <w:rPr>
                <w:rFonts w:hint="default" w:ascii="Times New Roman" w:hAnsi="Times New Roman" w:eastAsia="宋体" w:cs="Times New Roman"/>
                <w:color w:val="auto"/>
                <w:kern w:val="2"/>
                <w:sz w:val="24"/>
                <w:szCs w:val="24"/>
                <w:lang w:val="en-US" w:eastAsia="en-US" w:bidi="ar-SA"/>
              </w:rPr>
            </w:pPr>
            <w:r>
              <w:rPr>
                <w:rFonts w:hint="default" w:ascii="Times New Roman" w:hAnsi="Times New Roman" w:eastAsia="宋体" w:cs="Times New Roman"/>
                <w:color w:val="auto"/>
                <w:kern w:val="2"/>
                <w:sz w:val="24"/>
                <w:szCs w:val="24"/>
                <w:lang w:val="en-US" w:eastAsia="en-US" w:bidi="ar-SA"/>
              </w:rPr>
              <w:t>（2）环境质量底线</w:t>
            </w:r>
          </w:p>
          <w:p>
            <w:pPr>
              <w:widowControl/>
              <w:bidi w:val="0"/>
              <w:snapToGrid w:val="0"/>
              <w:spacing w:line="500" w:lineRule="exact"/>
              <w:ind w:firstLine="480" w:firstLineChars="200"/>
              <w:jc w:val="both"/>
              <w:rPr>
                <w:rFonts w:hint="default" w:ascii="宋体" w:hAnsi="宋体" w:eastAsia="宋体" w:cs="宋体"/>
                <w:color w:val="auto"/>
                <w:kern w:val="0"/>
                <w:sz w:val="24"/>
                <w:szCs w:val="24"/>
                <w:lang w:val="en-US" w:eastAsia="zh-CN" w:bidi="ar-SA"/>
              </w:rPr>
            </w:pPr>
            <w:r>
              <w:rPr>
                <w:rFonts w:hint="default" w:ascii="宋体" w:hAnsi="宋体" w:eastAsia="宋体" w:cs="宋体"/>
                <w:color w:val="auto"/>
                <w:kern w:val="0"/>
                <w:sz w:val="24"/>
                <w:szCs w:val="24"/>
                <w:lang w:val="en-US" w:eastAsia="zh-CN" w:bidi="ar-SA"/>
              </w:rPr>
              <w:t>本项目为陆地矿产资源地质勘查</w:t>
            </w:r>
            <w:r>
              <w:rPr>
                <w:rFonts w:hint="eastAsia" w:ascii="宋体" w:hAnsi="宋体" w:cs="宋体"/>
                <w:color w:val="auto"/>
                <w:kern w:val="0"/>
                <w:sz w:val="24"/>
                <w:szCs w:val="24"/>
                <w:lang w:val="en-US" w:eastAsia="zh-CN" w:bidi="ar-SA"/>
              </w:rPr>
              <w:t>－</w:t>
            </w:r>
            <w:r>
              <w:rPr>
                <w:rFonts w:hint="default" w:ascii="宋体" w:hAnsi="宋体" w:eastAsia="宋体" w:cs="宋体"/>
                <w:color w:val="auto"/>
                <w:kern w:val="0"/>
                <w:sz w:val="24"/>
                <w:szCs w:val="24"/>
                <w:lang w:val="en-US" w:eastAsia="zh-CN" w:bidi="ar-SA"/>
              </w:rPr>
              <w:t>油气资源勘探项目，无运营期；钻试期产生的污染影响随施工结束而停止，对区域环境质量影响小，不会突破区域环境质量底线。</w:t>
            </w:r>
          </w:p>
          <w:p>
            <w:pPr>
              <w:keepNext w:val="0"/>
              <w:keepLines w:val="0"/>
              <w:pageBreakBefore w:val="0"/>
              <w:widowControl w:val="0"/>
              <w:numPr>
                <w:ilvl w:val="1"/>
                <w:numId w:val="0"/>
              </w:numPr>
              <w:kinsoku/>
              <w:wordWrap/>
              <w:overflowPunct/>
              <w:topLinePunct w:val="0"/>
              <w:autoSpaceDE w:val="0"/>
              <w:autoSpaceDN w:val="0"/>
              <w:bidi w:val="0"/>
              <w:adjustRightInd w:val="0"/>
              <w:snapToGrid w:val="0"/>
              <w:spacing w:line="500" w:lineRule="exact"/>
              <w:ind w:left="0" w:leftChars="0" w:firstLine="480" w:firstLineChars="200"/>
              <w:jc w:val="both"/>
              <w:textAlignment w:val="auto"/>
              <w:rPr>
                <w:rFonts w:hint="default" w:ascii="Times New Roman" w:hAnsi="Times New Roman" w:eastAsia="宋体" w:cs="Times New Roman"/>
                <w:color w:val="auto"/>
                <w:kern w:val="2"/>
                <w:sz w:val="24"/>
                <w:szCs w:val="24"/>
                <w:lang w:val="en-US" w:eastAsia="en-US" w:bidi="ar-SA"/>
              </w:rPr>
            </w:pPr>
            <w:r>
              <w:rPr>
                <w:rFonts w:hint="default" w:ascii="Times New Roman" w:hAnsi="Times New Roman" w:eastAsia="宋体" w:cs="Times New Roman"/>
                <w:color w:val="auto"/>
                <w:kern w:val="2"/>
                <w:sz w:val="24"/>
                <w:szCs w:val="24"/>
                <w:lang w:val="en-US" w:eastAsia="en-US" w:bidi="ar-SA"/>
              </w:rPr>
              <w:t>（3）资源利用上线</w:t>
            </w:r>
          </w:p>
          <w:p>
            <w:pPr>
              <w:widowControl/>
              <w:bidi w:val="0"/>
              <w:snapToGrid w:val="0"/>
              <w:spacing w:line="500" w:lineRule="exact"/>
              <w:ind w:firstLine="480" w:firstLineChars="200"/>
              <w:jc w:val="both"/>
              <w:rPr>
                <w:rFonts w:hint="default" w:ascii="宋体" w:hAnsi="宋体" w:eastAsia="宋体" w:cs="宋体"/>
                <w:color w:val="auto"/>
                <w:kern w:val="0"/>
                <w:sz w:val="24"/>
                <w:szCs w:val="24"/>
                <w:lang w:val="en-US" w:eastAsia="zh-CN" w:bidi="ar-SA"/>
              </w:rPr>
            </w:pPr>
            <w:r>
              <w:rPr>
                <w:rFonts w:hint="default" w:ascii="宋体" w:hAnsi="宋体" w:eastAsia="宋体" w:cs="宋体"/>
                <w:color w:val="auto"/>
                <w:kern w:val="0"/>
                <w:sz w:val="24"/>
                <w:szCs w:val="24"/>
                <w:lang w:val="en-US" w:eastAsia="zh-CN" w:bidi="ar-SA"/>
              </w:rPr>
              <w:t>本项目为临时占地，不会永久占用土地资源；项目建设过程中会消耗一定量的柴油及新鲜水，消耗量总体相对区域资源利用总量很少，在区域可承受范围内，不会突破区域资源利用上线，符合区域资源利用要求。</w:t>
            </w:r>
          </w:p>
          <w:p>
            <w:pPr>
              <w:keepNext w:val="0"/>
              <w:keepLines w:val="0"/>
              <w:pageBreakBefore w:val="0"/>
              <w:widowControl w:val="0"/>
              <w:numPr>
                <w:ilvl w:val="1"/>
                <w:numId w:val="0"/>
              </w:numPr>
              <w:kinsoku/>
              <w:wordWrap/>
              <w:overflowPunct/>
              <w:topLinePunct w:val="0"/>
              <w:autoSpaceDE w:val="0"/>
              <w:autoSpaceDN w:val="0"/>
              <w:bidi w:val="0"/>
              <w:adjustRightInd w:val="0"/>
              <w:snapToGrid w:val="0"/>
              <w:spacing w:line="500" w:lineRule="exact"/>
              <w:ind w:left="0" w:leftChars="0" w:firstLine="480" w:firstLineChars="200"/>
              <w:jc w:val="both"/>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2"/>
                <w:sz w:val="24"/>
                <w:szCs w:val="24"/>
                <w:lang w:val="en-US" w:eastAsia="en-US" w:bidi="ar-SA"/>
              </w:rPr>
              <w:t>（4）</w:t>
            </w:r>
            <w:r>
              <w:rPr>
                <w:rFonts w:hint="default" w:ascii="Times New Roman" w:hAnsi="Times New Roman" w:eastAsia="宋体" w:cs="Times New Roman"/>
                <w:color w:val="auto"/>
                <w:kern w:val="0"/>
                <w:sz w:val="24"/>
                <w:szCs w:val="24"/>
                <w:lang w:val="en-US" w:eastAsia="zh-CN" w:bidi="ar-SA"/>
              </w:rPr>
              <w:t>与《新疆维吾尔自治区生态环境分区管控动态更新成果》（新环环评发〔2024〕157号）符合性分析</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00" w:lineRule="exact"/>
              <w:ind w:firstLine="480" w:firstLineChars="200"/>
              <w:jc w:val="both"/>
              <w:textAlignment w:val="auto"/>
              <w:rPr>
                <w:rFonts w:hint="eastAsia" w:ascii="Times New Roman" w:hAnsi="Times New Roman" w:eastAsia="宋体" w:cs="Times New Roman"/>
                <w:color w:val="auto"/>
                <w:sz w:val="24"/>
                <w:szCs w:val="24"/>
                <w:lang w:val="en-US" w:eastAsia="zh-CN" w:bidi="ar-SA"/>
              </w:rPr>
            </w:pPr>
            <w:r>
              <w:rPr>
                <w:rFonts w:hint="eastAsia" w:ascii="Times New Roman" w:hAnsi="Times New Roman" w:eastAsia="宋体" w:cs="Times New Roman"/>
                <w:color w:val="auto"/>
                <w:sz w:val="24"/>
                <w:szCs w:val="24"/>
                <w:lang w:val="en-US" w:eastAsia="zh-CN" w:bidi="ar-SA"/>
              </w:rPr>
              <w:t>①空间布局约束要求</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00" w:lineRule="exact"/>
              <w:ind w:firstLine="480" w:firstLineChars="200"/>
              <w:jc w:val="both"/>
              <w:textAlignment w:val="auto"/>
              <w:rPr>
                <w:rFonts w:hint="default" w:ascii="Times New Roman" w:hAnsi="Times New Roman" w:eastAsia="宋体" w:cs="Times New Roman"/>
                <w:color w:val="auto"/>
                <w:sz w:val="24"/>
                <w:szCs w:val="24"/>
                <w:lang w:val="en-US" w:eastAsia="zh-CN" w:bidi="ar-SA"/>
              </w:rPr>
            </w:pPr>
            <w:r>
              <w:rPr>
                <w:rFonts w:hint="eastAsia" w:ascii="Times New Roman" w:hAnsi="Times New Roman" w:eastAsia="宋体" w:cs="Times New Roman"/>
                <w:color w:val="auto"/>
                <w:sz w:val="24"/>
                <w:szCs w:val="24"/>
                <w:lang w:val="en-US" w:eastAsia="zh-CN" w:bidi="ar-SA"/>
              </w:rPr>
              <w:t>根据</w:t>
            </w:r>
            <w:r>
              <w:rPr>
                <w:rFonts w:hint="default" w:ascii="Times New Roman" w:hAnsi="Times New Roman" w:eastAsia="宋体" w:cs="Times New Roman"/>
                <w:color w:val="auto"/>
                <w:sz w:val="24"/>
                <w:szCs w:val="24"/>
                <w:lang w:val="en-US" w:eastAsia="zh-CN" w:bidi="ar-SA"/>
              </w:rPr>
              <w:t>《新疆维吾尔自治区生态环境分区管控动态更新成果》（新环环评发〔2024〕157号）分区</w:t>
            </w:r>
            <w:r>
              <w:rPr>
                <w:rFonts w:hint="eastAsia" w:ascii="Times New Roman" w:hAnsi="Times New Roman" w:eastAsia="宋体" w:cs="Times New Roman"/>
                <w:color w:val="auto"/>
                <w:sz w:val="24"/>
                <w:szCs w:val="24"/>
                <w:lang w:val="en-US" w:eastAsia="zh-CN" w:bidi="ar-SA"/>
              </w:rPr>
              <w:t>管控</w:t>
            </w:r>
            <w:r>
              <w:rPr>
                <w:rFonts w:hint="default" w:ascii="Times New Roman" w:hAnsi="Times New Roman" w:eastAsia="宋体" w:cs="Times New Roman"/>
                <w:color w:val="auto"/>
                <w:sz w:val="24"/>
                <w:szCs w:val="24"/>
                <w:lang w:val="en-US" w:eastAsia="zh-CN" w:bidi="ar-SA"/>
              </w:rPr>
              <w:t>总体要求，本项目属于《产业结构调整指导目录（2024年本）》鼓励类项目，且符合国家和自治区环境保护标准；项目不涉及饮用水水源保护区、风景名胜区、自然保护区、城镇居民区、基本农田等生态敏感区域，不属于禁止开发建设的活动，不属于高耗水、高污染行业，不占用湿地；项目符合“空间布局约束”要求。</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00" w:lineRule="exact"/>
              <w:ind w:firstLine="480" w:firstLineChars="200"/>
              <w:jc w:val="both"/>
              <w:textAlignment w:val="auto"/>
              <w:rPr>
                <w:rFonts w:hint="eastAsia" w:ascii="Times New Roman" w:hAnsi="Times New Roman" w:eastAsia="宋体" w:cs="Times New Roman"/>
                <w:color w:val="auto"/>
                <w:sz w:val="24"/>
                <w:szCs w:val="24"/>
                <w:lang w:val="en-US" w:eastAsia="zh-CN" w:bidi="ar-SA"/>
              </w:rPr>
            </w:pPr>
            <w:r>
              <w:rPr>
                <w:rFonts w:hint="eastAsia" w:ascii="Times New Roman" w:hAnsi="Times New Roman" w:eastAsia="宋体" w:cs="Times New Roman"/>
                <w:color w:val="auto"/>
                <w:sz w:val="24"/>
                <w:szCs w:val="24"/>
                <w:lang w:val="en-US" w:eastAsia="zh-CN" w:bidi="ar-SA"/>
              </w:rPr>
              <w:t>②污染物排放管控要求</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00" w:lineRule="exact"/>
              <w:ind w:firstLine="480" w:firstLineChars="200"/>
              <w:jc w:val="both"/>
              <w:textAlignment w:val="auto"/>
              <w:rPr>
                <w:rFonts w:hint="default" w:ascii="Times New Roman" w:hAnsi="Times New Roman" w:eastAsia="宋体" w:cs="Times New Roman"/>
                <w:color w:val="auto"/>
                <w:sz w:val="24"/>
                <w:szCs w:val="24"/>
                <w:lang w:val="en-US" w:eastAsia="zh-CN" w:bidi="ar-SA"/>
              </w:rPr>
            </w:pPr>
            <w:r>
              <w:rPr>
                <w:rFonts w:hint="eastAsia" w:ascii="Times New Roman" w:hAnsi="Times New Roman" w:eastAsia="宋体" w:cs="Times New Roman"/>
                <w:color w:val="auto"/>
                <w:sz w:val="24"/>
                <w:szCs w:val="24"/>
                <w:lang w:val="en-US" w:eastAsia="zh-CN" w:bidi="ar-SA"/>
              </w:rPr>
              <w:t>本项目符合“三线一单”、产业政策、矿产规划及规划环评和行业环境准入管控要求，试油过程产生的伴生气（主要成分为甲烷）充分燃烧后排放，柴油储罐密闭，可最大程度减少挥发性有机废气的产生和排放；项目结束后，废气、噪声即消失；项目产生的废水、固废均可得到妥善处理、处置；项目不涉及地表水体，通过废液、岩屑进罐收集及井场场地分区防渗，避免对土壤和地下水质量的不利影响；项目符合“污染物排放管控”要求。</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00" w:lineRule="exact"/>
              <w:ind w:firstLine="480" w:firstLineChars="200"/>
              <w:jc w:val="both"/>
              <w:textAlignment w:val="auto"/>
              <w:rPr>
                <w:rFonts w:hint="eastAsia" w:ascii="Times New Roman" w:hAnsi="Times New Roman" w:eastAsia="宋体" w:cs="Times New Roman"/>
                <w:color w:val="auto"/>
                <w:sz w:val="24"/>
                <w:szCs w:val="24"/>
                <w:lang w:val="en-US" w:eastAsia="zh-CN" w:bidi="ar-SA"/>
              </w:rPr>
            </w:pPr>
            <w:r>
              <w:rPr>
                <w:rFonts w:hint="eastAsia" w:ascii="Times New Roman" w:hAnsi="Times New Roman" w:eastAsia="宋体" w:cs="Times New Roman"/>
                <w:color w:val="auto"/>
                <w:sz w:val="24"/>
                <w:szCs w:val="24"/>
                <w:lang w:val="en-US" w:eastAsia="zh-CN" w:bidi="ar-SA"/>
              </w:rPr>
              <w:t>③环境风险防控要求</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00" w:lineRule="exact"/>
              <w:ind w:firstLine="480" w:firstLineChars="200"/>
              <w:jc w:val="both"/>
              <w:textAlignment w:val="auto"/>
              <w:rPr>
                <w:rFonts w:hint="default" w:ascii="Times New Roman" w:hAnsi="Times New Roman" w:eastAsia="宋体" w:cs="Times New Roman"/>
                <w:color w:val="auto"/>
                <w:sz w:val="24"/>
                <w:szCs w:val="24"/>
                <w:lang w:val="en-US" w:eastAsia="zh-CN" w:bidi="ar-SA"/>
              </w:rPr>
            </w:pPr>
            <w:r>
              <w:rPr>
                <w:rFonts w:hint="eastAsia" w:ascii="Times New Roman" w:hAnsi="Times New Roman" w:eastAsia="宋体" w:cs="Times New Roman"/>
                <w:color w:val="auto"/>
                <w:sz w:val="24"/>
                <w:szCs w:val="24"/>
                <w:lang w:val="en-US" w:eastAsia="zh-CN" w:bidi="ar-SA"/>
              </w:rPr>
              <w:t>本项目周边无居民集中区域，不涉及饮用水水源地，不涉及耕地；项目试油时伴生气燃烧后排放，井场采取了分区防渗措施，各类废液及钻井岩屑均进罐收集，可避免对土壤产生的污染；项目实施过程中，严格执行中国石油</w:t>
            </w:r>
            <w:r>
              <w:rPr>
                <w:rFonts w:hint="eastAsia" w:cs="Times New Roman"/>
                <w:color w:val="auto"/>
                <w:sz w:val="24"/>
                <w:szCs w:val="24"/>
                <w:lang w:val="en-US" w:eastAsia="zh-CN" w:bidi="ar-SA"/>
              </w:rPr>
              <w:t>大港</w:t>
            </w:r>
            <w:r>
              <w:rPr>
                <w:rFonts w:hint="eastAsia" w:ascii="Times New Roman" w:hAnsi="Times New Roman" w:eastAsia="宋体" w:cs="Times New Roman"/>
                <w:color w:val="auto"/>
                <w:sz w:val="24"/>
                <w:szCs w:val="24"/>
                <w:lang w:val="en-US" w:eastAsia="zh-CN" w:bidi="ar-SA"/>
              </w:rPr>
              <w:t>分公司的健康、安全与环境管理体系（HSE管理体系）以及</w:t>
            </w:r>
            <w:r>
              <w:rPr>
                <w:rFonts w:hint="eastAsia" w:cs="Times New Roman"/>
                <w:color w:val="auto"/>
                <w:sz w:val="24"/>
                <w:szCs w:val="24"/>
                <w:lang w:val="en-US" w:eastAsia="zh-CN" w:bidi="ar-SA"/>
              </w:rPr>
              <w:t>突发环境事件应急预案</w:t>
            </w:r>
            <w:r>
              <w:rPr>
                <w:rFonts w:hint="eastAsia" w:ascii="Times New Roman" w:hAnsi="Times New Roman" w:eastAsia="宋体" w:cs="Times New Roman"/>
                <w:color w:val="auto"/>
                <w:sz w:val="24"/>
                <w:szCs w:val="24"/>
                <w:lang w:val="en-US" w:eastAsia="zh-CN" w:bidi="ar-SA"/>
              </w:rPr>
              <w:t>；</w:t>
            </w:r>
            <w:r>
              <w:rPr>
                <w:rFonts w:hint="eastAsia" w:cs="Times New Roman"/>
                <w:color w:val="auto"/>
                <w:sz w:val="24"/>
                <w:szCs w:val="24"/>
                <w:lang w:val="en-US" w:eastAsia="zh-CN" w:bidi="ar-SA"/>
              </w:rPr>
              <w:t>综上，</w:t>
            </w:r>
            <w:r>
              <w:rPr>
                <w:rFonts w:hint="eastAsia" w:ascii="Times New Roman" w:hAnsi="Times New Roman" w:eastAsia="宋体" w:cs="Times New Roman"/>
                <w:color w:val="auto"/>
                <w:sz w:val="24"/>
                <w:szCs w:val="24"/>
                <w:lang w:val="en-US" w:eastAsia="zh-CN" w:bidi="ar-SA"/>
              </w:rPr>
              <w:t>项目符合“环境风险防控要求”。</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00" w:lineRule="exact"/>
              <w:ind w:firstLine="480" w:firstLineChars="200"/>
              <w:jc w:val="both"/>
              <w:textAlignment w:val="auto"/>
              <w:rPr>
                <w:rFonts w:hint="eastAsia" w:ascii="Times New Roman" w:hAnsi="Times New Roman" w:eastAsia="宋体" w:cs="Times New Roman"/>
                <w:color w:val="auto"/>
                <w:sz w:val="24"/>
                <w:szCs w:val="24"/>
                <w:lang w:val="en-US" w:eastAsia="zh-CN" w:bidi="ar-SA"/>
              </w:rPr>
            </w:pPr>
            <w:r>
              <w:rPr>
                <w:rFonts w:hint="eastAsia" w:ascii="Times New Roman" w:hAnsi="Times New Roman" w:eastAsia="宋体" w:cs="Times New Roman"/>
                <w:color w:val="auto"/>
                <w:sz w:val="24"/>
                <w:szCs w:val="24"/>
                <w:lang w:val="en-US" w:eastAsia="zh-CN" w:bidi="ar-SA"/>
              </w:rPr>
              <w:t>④资源利用要求</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00" w:lineRule="exact"/>
              <w:ind w:firstLine="480" w:firstLineChars="200"/>
              <w:jc w:val="both"/>
              <w:textAlignment w:val="auto"/>
              <w:rPr>
                <w:rFonts w:hint="eastAsia" w:ascii="Times New Roman" w:hAnsi="Times New Roman" w:eastAsia="宋体" w:cs="Times New Roman"/>
                <w:color w:val="auto"/>
                <w:sz w:val="24"/>
                <w:szCs w:val="24"/>
                <w:lang w:val="en-US" w:eastAsia="zh-CN" w:bidi="ar-SA"/>
              </w:rPr>
            </w:pPr>
            <w:r>
              <w:rPr>
                <w:rFonts w:hint="eastAsia" w:ascii="Times New Roman" w:hAnsi="Times New Roman" w:eastAsia="宋体" w:cs="Times New Roman"/>
                <w:color w:val="auto"/>
                <w:sz w:val="24"/>
                <w:szCs w:val="24"/>
                <w:lang w:val="en-US" w:eastAsia="zh-CN" w:bidi="ar-SA"/>
              </w:rPr>
              <w:t>本项目仅有施工期，且用水量较少；项目用地性质为临时，不占用耕地资源；项目产生的水基钻井液及岩屑通过钻井液不落地系统处理，液相重复利用，固相钻井岩屑进罐收集后委托第三方岩屑处理单位处置，项目产生的</w:t>
            </w:r>
            <w:r>
              <w:rPr>
                <w:rFonts w:hint="eastAsia" w:cs="Times New Roman"/>
                <w:color w:val="auto"/>
                <w:sz w:val="24"/>
                <w:szCs w:val="24"/>
                <w:lang w:val="en-US" w:eastAsia="zh-CN" w:bidi="ar-SA"/>
              </w:rPr>
              <w:t>油基</w:t>
            </w:r>
            <w:r>
              <w:rPr>
                <w:rFonts w:hint="eastAsia" w:ascii="Times New Roman" w:hAnsi="Times New Roman" w:eastAsia="宋体" w:cs="Times New Roman"/>
                <w:color w:val="auto"/>
                <w:sz w:val="24"/>
                <w:szCs w:val="24"/>
                <w:lang w:val="en-US" w:eastAsia="zh-CN" w:bidi="ar-SA"/>
              </w:rPr>
              <w:t>钻井液及岩屑通过钻井液不落地系统处理，液相重复利用，固相钻井岩屑进罐收集后委托</w:t>
            </w:r>
            <w:r>
              <w:rPr>
                <w:rFonts w:hint="eastAsia" w:cs="Times New Roman"/>
                <w:color w:val="auto"/>
                <w:sz w:val="24"/>
                <w:szCs w:val="24"/>
                <w:lang w:val="en-US" w:eastAsia="zh-CN" w:bidi="ar-SA"/>
              </w:rPr>
              <w:t>具有相应危废资质单位清运、</w:t>
            </w:r>
            <w:r>
              <w:rPr>
                <w:rFonts w:hint="eastAsia" w:ascii="Times New Roman" w:hAnsi="Times New Roman" w:eastAsia="宋体" w:cs="Times New Roman"/>
                <w:color w:val="auto"/>
                <w:sz w:val="24"/>
                <w:szCs w:val="24"/>
                <w:lang w:val="en-US" w:eastAsia="zh-CN" w:bidi="ar-SA"/>
              </w:rPr>
              <w:t>处置</w:t>
            </w:r>
            <w:r>
              <w:rPr>
                <w:rFonts w:hint="eastAsia" w:cs="Times New Roman"/>
                <w:color w:val="auto"/>
                <w:sz w:val="24"/>
                <w:szCs w:val="24"/>
                <w:lang w:val="en-US" w:eastAsia="zh-CN" w:bidi="ar-SA"/>
              </w:rPr>
              <w:t>。综上，项目固废可</w:t>
            </w:r>
            <w:r>
              <w:rPr>
                <w:rFonts w:hint="eastAsia" w:ascii="Times New Roman" w:hAnsi="Times New Roman" w:eastAsia="宋体" w:cs="Times New Roman"/>
                <w:color w:val="auto"/>
                <w:sz w:val="24"/>
                <w:szCs w:val="24"/>
                <w:lang w:val="en-US" w:eastAsia="zh-CN" w:bidi="ar-SA"/>
              </w:rPr>
              <w:t>实现减量</w:t>
            </w:r>
            <w:r>
              <w:rPr>
                <w:rFonts w:hint="eastAsia" w:cs="Times New Roman"/>
                <w:color w:val="auto"/>
                <w:sz w:val="24"/>
                <w:szCs w:val="24"/>
                <w:lang w:val="en-US" w:eastAsia="zh-CN" w:bidi="ar-SA"/>
              </w:rPr>
              <w:t>化</w:t>
            </w:r>
            <w:r>
              <w:rPr>
                <w:rFonts w:hint="eastAsia" w:ascii="Times New Roman" w:hAnsi="Times New Roman" w:eastAsia="宋体" w:cs="Times New Roman"/>
                <w:color w:val="auto"/>
                <w:sz w:val="24"/>
                <w:szCs w:val="24"/>
                <w:lang w:val="en-US" w:eastAsia="zh-CN" w:bidi="ar-SA"/>
              </w:rPr>
              <w:t>、资源化和无害化处置；项目符合“资源利用要求”。</w:t>
            </w:r>
          </w:p>
          <w:p>
            <w:pPr>
              <w:keepNext w:val="0"/>
              <w:keepLines w:val="0"/>
              <w:pageBreakBefore w:val="0"/>
              <w:widowControl/>
              <w:kinsoku/>
              <w:wordWrap/>
              <w:overflowPunct/>
              <w:topLinePunct w:val="0"/>
              <w:bidi w:val="0"/>
              <w:adjustRightInd w:val="0"/>
              <w:snapToGrid w:val="0"/>
              <w:spacing w:line="500" w:lineRule="exact"/>
              <w:ind w:firstLine="480" w:firstLineChars="200"/>
              <w:jc w:val="both"/>
              <w:textAlignment w:val="auto"/>
              <w:rPr>
                <w:rFonts w:hint="default" w:cs="Times New Roman"/>
                <w:color w:val="auto"/>
                <w:kern w:val="0"/>
                <w:sz w:val="24"/>
                <w:szCs w:val="22"/>
                <w:lang w:val="en-US" w:eastAsia="zh-CN" w:bidi="ar-SA"/>
              </w:rPr>
            </w:pPr>
            <w:r>
              <w:rPr>
                <w:rFonts w:hint="eastAsia" w:cs="Times New Roman"/>
                <w:color w:val="auto"/>
                <w:kern w:val="0"/>
                <w:sz w:val="24"/>
                <w:szCs w:val="22"/>
                <w:lang w:val="en-US" w:eastAsia="zh-CN" w:bidi="ar-SA"/>
              </w:rPr>
              <w:t>（5）与</w:t>
            </w:r>
            <w:r>
              <w:rPr>
                <w:rFonts w:hint="default" w:ascii="Times New Roman" w:hAnsi="Times New Roman" w:eastAsia="宋体" w:cs="Times New Roman"/>
                <w:color w:val="auto"/>
                <w:kern w:val="0"/>
                <w:sz w:val="24"/>
                <w:szCs w:val="22"/>
                <w:lang w:val="en-US" w:eastAsia="zh-CN" w:bidi="ar-SA"/>
              </w:rPr>
              <w:t>《昌吉回族自治州“三线一单”生态环境分区管控方案成果动态更新》</w:t>
            </w:r>
            <w:r>
              <w:rPr>
                <w:rFonts w:hint="eastAsia" w:ascii="Times New Roman" w:hAnsi="Times New Roman" w:eastAsia="宋体" w:cs="Times New Roman"/>
                <w:color w:val="auto"/>
                <w:kern w:val="0"/>
                <w:sz w:val="24"/>
                <w:szCs w:val="22"/>
                <w:lang w:val="en-US" w:eastAsia="zh-CN" w:bidi="ar-SA"/>
              </w:rPr>
              <w:t>要求符合性分析</w:t>
            </w:r>
          </w:p>
          <w:p>
            <w:pPr>
              <w:keepNext w:val="0"/>
              <w:keepLines w:val="0"/>
              <w:pageBreakBefore w:val="0"/>
              <w:widowControl/>
              <w:kinsoku/>
              <w:wordWrap/>
              <w:overflowPunct/>
              <w:topLinePunct w:val="0"/>
              <w:bidi w:val="0"/>
              <w:adjustRightInd w:val="0"/>
              <w:snapToGrid w:val="0"/>
              <w:spacing w:line="500" w:lineRule="exact"/>
              <w:ind w:firstLine="480" w:firstLineChars="200"/>
              <w:jc w:val="both"/>
              <w:textAlignment w:val="auto"/>
              <w:rPr>
                <w:rFonts w:hint="default" w:ascii="Times New Roman" w:hAnsi="Times New Roman" w:eastAsia="宋体" w:cs="Times New Roman"/>
                <w:color w:val="auto"/>
                <w:kern w:val="0"/>
                <w:sz w:val="24"/>
                <w:szCs w:val="22"/>
                <w:lang w:val="en-US" w:eastAsia="zh-CN" w:bidi="ar-SA"/>
              </w:rPr>
            </w:pPr>
            <w:r>
              <w:rPr>
                <w:rFonts w:hint="eastAsia" w:ascii="Times New Roman" w:hAnsi="Times New Roman" w:eastAsia="宋体" w:cs="Times New Roman"/>
                <w:color w:val="auto"/>
                <w:kern w:val="0"/>
                <w:sz w:val="24"/>
                <w:szCs w:val="22"/>
                <w:lang w:val="en-US" w:eastAsia="zh-CN" w:bidi="ar-SA"/>
              </w:rPr>
              <w:t>根据</w:t>
            </w:r>
            <w:r>
              <w:rPr>
                <w:rFonts w:hint="default" w:ascii="Times New Roman" w:hAnsi="Times New Roman" w:eastAsia="宋体" w:cs="Times New Roman"/>
                <w:color w:val="auto"/>
                <w:kern w:val="0"/>
                <w:sz w:val="24"/>
                <w:szCs w:val="22"/>
                <w:lang w:val="en-US" w:eastAsia="zh-CN" w:bidi="ar-SA"/>
              </w:rPr>
              <w:t>《昌吉回族自治州“三线一单”生态环境分区管控方案成果动态更新》</w:t>
            </w:r>
            <w:r>
              <w:rPr>
                <w:rFonts w:hint="eastAsia" w:ascii="Times New Roman" w:hAnsi="Times New Roman" w:eastAsia="宋体" w:cs="Times New Roman"/>
                <w:color w:val="auto"/>
                <w:kern w:val="0"/>
                <w:sz w:val="24"/>
                <w:szCs w:val="22"/>
                <w:lang w:val="en-US" w:eastAsia="zh-CN" w:bidi="ar-SA"/>
              </w:rPr>
              <w:t>，本项目位于呼图壁县一般管控单元（</w:t>
            </w:r>
            <w:r>
              <w:rPr>
                <w:rFonts w:hint="default" w:ascii="Times New Roman" w:hAnsi="Times New Roman" w:eastAsia="宋体" w:cs="Times New Roman"/>
                <w:color w:val="auto"/>
                <w:kern w:val="0"/>
                <w:sz w:val="24"/>
                <w:szCs w:val="22"/>
                <w:lang w:val="en-US" w:eastAsia="zh-CN" w:bidi="ar-SA"/>
              </w:rPr>
              <w:t>ZH65232330001</w:t>
            </w:r>
            <w:r>
              <w:rPr>
                <w:rFonts w:hint="eastAsia" w:ascii="Times New Roman" w:hAnsi="Times New Roman" w:eastAsia="宋体" w:cs="Times New Roman"/>
                <w:color w:val="auto"/>
                <w:kern w:val="0"/>
                <w:sz w:val="24"/>
                <w:szCs w:val="22"/>
                <w:lang w:val="en-US" w:eastAsia="zh-CN" w:bidi="ar-SA"/>
              </w:rPr>
              <w:t>）</w:t>
            </w:r>
            <w:r>
              <w:rPr>
                <w:rFonts w:hint="default" w:ascii="Times New Roman" w:hAnsi="Times New Roman" w:eastAsia="宋体" w:cs="Times New Roman"/>
                <w:color w:val="auto"/>
                <w:kern w:val="0"/>
                <w:sz w:val="24"/>
                <w:szCs w:val="22"/>
                <w:lang w:val="en-US" w:eastAsia="zh-CN" w:bidi="ar-SA"/>
              </w:rPr>
              <w:t>，本项目与</w:t>
            </w:r>
            <w:r>
              <w:rPr>
                <w:rFonts w:hint="eastAsia" w:ascii="Times New Roman" w:hAnsi="Times New Roman" w:eastAsia="宋体" w:cs="Times New Roman"/>
                <w:color w:val="auto"/>
                <w:kern w:val="0"/>
                <w:sz w:val="24"/>
                <w:szCs w:val="22"/>
                <w:lang w:val="en-US" w:eastAsia="zh-CN" w:bidi="ar-SA"/>
              </w:rPr>
              <w:t>昌吉回族自治州</w:t>
            </w:r>
            <w:r>
              <w:rPr>
                <w:rFonts w:hint="default" w:ascii="Times New Roman" w:hAnsi="Times New Roman" w:eastAsia="宋体" w:cs="Times New Roman"/>
                <w:color w:val="auto"/>
                <w:kern w:val="0"/>
                <w:sz w:val="24"/>
                <w:szCs w:val="22"/>
                <w:lang w:val="en-US" w:eastAsia="zh-CN" w:bidi="ar-SA"/>
              </w:rPr>
              <w:t>生态环境分区管控单元位置关系见</w:t>
            </w:r>
            <w:r>
              <w:rPr>
                <w:rFonts w:hint="default" w:ascii="Times New Roman" w:hAnsi="Times New Roman" w:eastAsia="宋体" w:cs="Times New Roman"/>
                <w:b/>
                <w:bCs/>
                <w:color w:val="auto"/>
                <w:kern w:val="0"/>
                <w:sz w:val="24"/>
                <w:szCs w:val="22"/>
                <w:lang w:val="en-US" w:eastAsia="zh-CN" w:bidi="ar-SA"/>
              </w:rPr>
              <w:t>附图2</w:t>
            </w:r>
            <w:r>
              <w:rPr>
                <w:rFonts w:hint="default" w:ascii="Times New Roman" w:hAnsi="Times New Roman" w:eastAsia="宋体" w:cs="Times New Roman"/>
                <w:color w:val="auto"/>
                <w:kern w:val="0"/>
                <w:sz w:val="24"/>
                <w:szCs w:val="22"/>
                <w:lang w:val="en-US" w:eastAsia="zh-CN" w:bidi="ar-SA"/>
              </w:rPr>
              <w:t>。本项目所在管控单元项目环境准入符合性分析见表1-</w:t>
            </w:r>
            <w:r>
              <w:rPr>
                <w:rFonts w:hint="eastAsia" w:cs="Times New Roman"/>
                <w:color w:val="auto"/>
                <w:kern w:val="0"/>
                <w:sz w:val="24"/>
                <w:szCs w:val="22"/>
                <w:lang w:val="en-US" w:eastAsia="zh-CN" w:bidi="ar-SA"/>
              </w:rPr>
              <w:t>4</w:t>
            </w:r>
            <w:r>
              <w:rPr>
                <w:rFonts w:hint="default" w:ascii="Times New Roman" w:hAnsi="Times New Roman" w:eastAsia="宋体" w:cs="Times New Roman"/>
                <w:color w:val="auto"/>
                <w:kern w:val="0"/>
                <w:sz w:val="24"/>
                <w:szCs w:val="22"/>
                <w:lang w:val="en-US" w:eastAsia="zh-CN" w:bidi="ar-SA"/>
              </w:rPr>
              <w:t>。</w:t>
            </w:r>
          </w:p>
          <w:p>
            <w:pPr>
              <w:pStyle w:val="56"/>
              <w:bidi w:val="0"/>
              <w:rPr>
                <w:rFonts w:hint="default"/>
                <w:lang w:val="en-US" w:eastAsia="zh-CN"/>
              </w:rPr>
            </w:pPr>
            <w:r>
              <w:rPr>
                <w:rFonts w:hint="default"/>
              </w:rPr>
              <w:t>表</w:t>
            </w:r>
            <w:r>
              <w:rPr>
                <w:rFonts w:hint="default"/>
              </w:rPr>
              <w:fldChar w:fldCharType="begin"/>
            </w:r>
            <w:r>
              <w:rPr>
                <w:rFonts w:hint="default"/>
              </w:rPr>
              <w:instrText xml:space="preserve"> SEQ 表 \* ARABIC </w:instrText>
            </w:r>
            <w:r>
              <w:rPr>
                <w:rFonts w:hint="default"/>
              </w:rPr>
              <w:fldChar w:fldCharType="separate"/>
            </w:r>
            <w:r>
              <w:rPr>
                <w:rFonts w:hint="default"/>
              </w:rPr>
              <w:t>1</w:t>
            </w:r>
            <w:r>
              <w:rPr>
                <w:rFonts w:hint="default"/>
              </w:rPr>
              <w:fldChar w:fldCharType="end"/>
            </w:r>
            <w:r>
              <w:rPr>
                <w:rFonts w:hint="default"/>
                <w:lang w:val="en-US" w:eastAsia="zh-CN"/>
              </w:rPr>
              <w:t>-</w:t>
            </w:r>
            <w:r>
              <w:rPr>
                <w:rFonts w:hint="eastAsia"/>
                <w:lang w:val="en-US" w:eastAsia="zh-CN"/>
              </w:rPr>
              <w:t>4</w:t>
            </w:r>
            <w:r>
              <w:rPr>
                <w:rFonts w:hint="default"/>
                <w:lang w:val="en-US" w:eastAsia="zh-CN"/>
              </w:rPr>
              <w:t xml:space="preserve"> 本项目与</w:t>
            </w:r>
            <w:r>
              <w:rPr>
                <w:rFonts w:hint="eastAsia"/>
                <w:lang w:val="en-US" w:eastAsia="zh-CN"/>
              </w:rPr>
              <w:t>昌吉回族自治州生态环境</w:t>
            </w:r>
            <w:r>
              <w:rPr>
                <w:rFonts w:hint="default"/>
                <w:lang w:val="en-US" w:eastAsia="zh-CN"/>
              </w:rPr>
              <w:t>分区管控要求符合性分析</w:t>
            </w:r>
          </w:p>
          <w:tbl>
            <w:tblPr>
              <w:tblStyle w:val="28"/>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3" w:type="dxa"/>
                <w:bottom w:w="0" w:type="dxa"/>
                <w:right w:w="23" w:type="dxa"/>
              </w:tblCellMar>
            </w:tblPr>
            <w:tblGrid>
              <w:gridCol w:w="764"/>
              <w:gridCol w:w="4071"/>
              <w:gridCol w:w="2823"/>
              <w:gridCol w:w="73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c>
                <w:tcPr>
                  <w:tcW w:w="2880" w:type="pct"/>
                  <w:gridSpan w:val="2"/>
                  <w:tcBorders>
                    <w:tl2br w:val="nil"/>
                    <w:tr2bl w:val="nil"/>
                  </w:tcBorders>
                  <w:shd w:val="clear" w:color="auto" w:fill="auto"/>
                  <w:vAlign w:val="center"/>
                </w:tcPr>
                <w:p>
                  <w:pPr>
                    <w:keepNext w:val="0"/>
                    <w:keepLines w:val="0"/>
                    <w:pageBreakBefore w:val="0"/>
                    <w:kinsoku/>
                    <w:wordWrap/>
                    <w:overflowPunct/>
                    <w:topLinePunct w:val="0"/>
                    <w:bidi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管控要求（编码为ZH65232330001）</w:t>
                  </w:r>
                </w:p>
              </w:tc>
              <w:tc>
                <w:tcPr>
                  <w:tcW w:w="1682" w:type="pct"/>
                  <w:tcBorders>
                    <w:tl2br w:val="nil"/>
                    <w:tr2bl w:val="nil"/>
                  </w:tcBorders>
                  <w:shd w:val="clear" w:color="auto" w:fill="auto"/>
                  <w:vAlign w:val="center"/>
                </w:tcPr>
                <w:p>
                  <w:pPr>
                    <w:keepNext w:val="0"/>
                    <w:keepLines w:val="0"/>
                    <w:pageBreakBefore w:val="0"/>
                    <w:kinsoku/>
                    <w:wordWrap/>
                    <w:overflowPunct/>
                    <w:topLinePunct w:val="0"/>
                    <w:bidi w:val="0"/>
                    <w:snapToGrid w:val="0"/>
                    <w:spacing w:line="240" w:lineRule="auto"/>
                    <w:ind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本项目情况</w:t>
                  </w:r>
                </w:p>
              </w:tc>
              <w:tc>
                <w:tcPr>
                  <w:tcW w:w="436" w:type="pct"/>
                  <w:tcBorders>
                    <w:tl2br w:val="nil"/>
                    <w:tr2bl w:val="nil"/>
                  </w:tcBorders>
                  <w:shd w:val="clear" w:color="auto" w:fill="auto"/>
                  <w:vAlign w:val="center"/>
                </w:tcPr>
                <w:p>
                  <w:pPr>
                    <w:keepNext w:val="0"/>
                    <w:keepLines w:val="0"/>
                    <w:pageBreakBefore w:val="0"/>
                    <w:kinsoku/>
                    <w:wordWrap/>
                    <w:overflowPunct/>
                    <w:topLinePunct w:val="0"/>
                    <w:bidi w:val="0"/>
                    <w:snapToGrid w:val="0"/>
                    <w:spacing w:line="240" w:lineRule="auto"/>
                    <w:ind w:leftChars="0" w:right="0" w:rightChars="0"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90" w:hRule="atLeast"/>
              </w:trPr>
              <w:tc>
                <w:tcPr>
                  <w:tcW w:w="455" w:type="pct"/>
                  <w:tcBorders>
                    <w:tl2br w:val="nil"/>
                    <w:tr2bl w:val="nil"/>
                  </w:tcBorders>
                  <w:tcMar>
                    <w:left w:w="0" w:type="dxa"/>
                    <w:right w:w="0" w:type="dxa"/>
                  </w:tcMar>
                  <w:vAlign w:val="center"/>
                </w:tcPr>
                <w:p>
                  <w:pPr>
                    <w:keepNext w:val="0"/>
                    <w:keepLines w:val="0"/>
                    <w:pageBreakBefore w:val="0"/>
                    <w:widowControl/>
                    <w:kinsoku/>
                    <w:wordWrap/>
                    <w:overflowPunct/>
                    <w:topLinePunct w:val="0"/>
                    <w:bidi w:val="0"/>
                    <w:adjustRightInd w:val="0"/>
                    <w:snapToGrid w:val="0"/>
                    <w:spacing w:line="240" w:lineRule="auto"/>
                    <w:ind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空间约束布局</w:t>
                  </w:r>
                </w:p>
              </w:tc>
              <w:tc>
                <w:tcPr>
                  <w:tcW w:w="2425" w:type="pct"/>
                  <w:tcBorders>
                    <w:tl2br w:val="nil"/>
                    <w:tr2bl w:val="nil"/>
                  </w:tcBorders>
                  <w:tcMar>
                    <w:left w:w="0" w:type="dxa"/>
                    <w:right w:w="0" w:type="dxa"/>
                  </w:tcMar>
                  <w:vAlign w:val="center"/>
                </w:tcPr>
                <w:p>
                  <w:pPr>
                    <w:keepNext w:val="0"/>
                    <w:keepLines w:val="0"/>
                    <w:pageBreakBefore w:val="0"/>
                    <w:widowControl/>
                    <w:kinsoku/>
                    <w:wordWrap/>
                    <w:overflowPunct/>
                    <w:topLinePunct w:val="0"/>
                    <w:bidi w:val="0"/>
                    <w:adjustRightInd w:val="0"/>
                    <w:snapToGrid w:val="0"/>
                    <w:spacing w:line="240" w:lineRule="auto"/>
                    <w:ind w:leftChars="0"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1、符合</w:t>
                  </w:r>
                  <w:bookmarkStart w:id="14" w:name="OLE_LINK20"/>
                  <w:r>
                    <w:rPr>
                      <w:rFonts w:hint="default" w:ascii="Times New Roman" w:hAnsi="Times New Roman" w:eastAsia="宋体" w:cs="Times New Roman"/>
                      <w:color w:val="auto"/>
                      <w:sz w:val="21"/>
                      <w:szCs w:val="21"/>
                    </w:rPr>
                    <w:t>国土空间规划</w:t>
                  </w:r>
                  <w:bookmarkEnd w:id="14"/>
                  <w:r>
                    <w:rPr>
                      <w:rFonts w:hint="default" w:ascii="Times New Roman" w:hAnsi="Times New Roman" w:eastAsia="宋体" w:cs="Times New Roman"/>
                      <w:color w:val="auto"/>
                      <w:sz w:val="21"/>
                      <w:szCs w:val="21"/>
                    </w:rPr>
                    <w:t>要求。</w:t>
                  </w:r>
                </w:p>
                <w:p>
                  <w:pPr>
                    <w:keepNext w:val="0"/>
                    <w:keepLines w:val="0"/>
                    <w:pageBreakBefore w:val="0"/>
                    <w:widowControl/>
                    <w:kinsoku/>
                    <w:wordWrap/>
                    <w:overflowPunct/>
                    <w:topLinePunct w:val="0"/>
                    <w:bidi w:val="0"/>
                    <w:adjustRightInd w:val="0"/>
                    <w:snapToGrid w:val="0"/>
                    <w:spacing w:line="240" w:lineRule="auto"/>
                    <w:ind w:leftChars="0"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2、符合《产业结构调整指导目录（2024年本）》</w:t>
                  </w:r>
                  <w:bookmarkStart w:id="15" w:name="OLE_LINK23"/>
                  <w:r>
                    <w:rPr>
                      <w:rFonts w:hint="default" w:ascii="Times New Roman" w:hAnsi="Times New Roman" w:eastAsia="宋体" w:cs="Times New Roman"/>
                      <w:color w:val="auto"/>
                      <w:sz w:val="21"/>
                      <w:szCs w:val="21"/>
                    </w:rPr>
                    <w:t>《市场准入负面清单（202</w:t>
                  </w:r>
                  <w:r>
                    <w:rPr>
                      <w:rFonts w:hint="eastAsia" w:cs="Times New Roman"/>
                      <w:color w:val="auto"/>
                      <w:sz w:val="21"/>
                      <w:szCs w:val="21"/>
                      <w:lang w:val="en-US" w:eastAsia="zh-CN"/>
                    </w:rPr>
                    <w:t>5</w:t>
                  </w:r>
                  <w:r>
                    <w:rPr>
                      <w:rFonts w:hint="default" w:ascii="Times New Roman" w:hAnsi="Times New Roman" w:eastAsia="宋体" w:cs="Times New Roman"/>
                      <w:color w:val="auto"/>
                      <w:sz w:val="21"/>
                      <w:szCs w:val="21"/>
                    </w:rPr>
                    <w:t>年版）》</w:t>
                  </w:r>
                  <w:bookmarkEnd w:id="15"/>
                </w:p>
              </w:tc>
              <w:tc>
                <w:tcPr>
                  <w:tcW w:w="1682" w:type="pct"/>
                  <w:tcBorders>
                    <w:tl2br w:val="nil"/>
                    <w:tr2bl w:val="nil"/>
                  </w:tcBorders>
                  <w:tcMar>
                    <w:left w:w="0" w:type="dxa"/>
                    <w:right w:w="0" w:type="dxa"/>
                  </w:tcMar>
                  <w:vAlign w:val="center"/>
                </w:tcPr>
                <w:p>
                  <w:pPr>
                    <w:keepNext w:val="0"/>
                    <w:keepLines w:val="0"/>
                    <w:pageBreakBefore w:val="0"/>
                    <w:widowControl w:val="0"/>
                    <w:kinsoku/>
                    <w:wordWrap/>
                    <w:overflowPunct/>
                    <w:topLinePunct w:val="0"/>
                    <w:bidi w:val="0"/>
                    <w:adjustRightInd/>
                    <w:snapToGrid/>
                    <w:spacing w:beforeLines="0" w:afterLines="0" w:line="240" w:lineRule="auto"/>
                    <w:ind w:left="0" w:leftChars="0" w:right="0" w:rightChars="0" w:firstLine="0" w:firstLineChars="0"/>
                    <w:contextualSpacing/>
                    <w:jc w:val="center"/>
                    <w:textAlignment w:val="auto"/>
                    <w:rPr>
                      <w:rFonts w:hint="eastAsia" w:ascii="Times New Roman" w:hAnsi="Times New Roman" w:eastAsia="宋体" w:cs="Times New Roman"/>
                      <w:color w:val="auto"/>
                      <w:kern w:val="2"/>
                      <w:sz w:val="21"/>
                      <w:szCs w:val="21"/>
                      <w:lang w:eastAsia="zh-CN"/>
                    </w:rPr>
                  </w:pPr>
                  <w:r>
                    <w:rPr>
                      <w:rFonts w:hint="default" w:ascii="Times New Roman" w:hAnsi="Times New Roman" w:eastAsia="宋体" w:cs="Times New Roman"/>
                      <w:color w:val="auto"/>
                      <w:kern w:val="2"/>
                      <w:sz w:val="21"/>
                      <w:szCs w:val="21"/>
                    </w:rPr>
                    <w:t>项目</w:t>
                  </w:r>
                  <w:r>
                    <w:rPr>
                      <w:rFonts w:hint="eastAsia" w:ascii="Times New Roman" w:hAnsi="Times New Roman" w:eastAsia="宋体" w:cs="Times New Roman"/>
                      <w:color w:val="auto"/>
                      <w:kern w:val="2"/>
                      <w:sz w:val="21"/>
                      <w:szCs w:val="21"/>
                      <w:lang w:val="en-US" w:eastAsia="zh-CN"/>
                    </w:rPr>
                    <w:t>不涉及生态红线、基本农田和城镇空间等“三区三线”</w:t>
                  </w:r>
                  <w:r>
                    <w:rPr>
                      <w:rFonts w:hint="eastAsia" w:ascii="Times New Roman" w:hAnsi="Times New Roman" w:eastAsia="宋体" w:cs="Times New Roman"/>
                      <w:color w:val="auto"/>
                      <w:kern w:val="2"/>
                      <w:sz w:val="21"/>
                      <w:szCs w:val="21"/>
                      <w:lang w:eastAsia="zh-CN"/>
                    </w:rPr>
                    <w:t>；</w:t>
                  </w:r>
                </w:p>
                <w:p>
                  <w:pPr>
                    <w:keepNext w:val="0"/>
                    <w:keepLines w:val="0"/>
                    <w:pageBreakBefore w:val="0"/>
                    <w:widowControl w:val="0"/>
                    <w:kinsoku/>
                    <w:wordWrap/>
                    <w:overflowPunct/>
                    <w:topLinePunct w:val="0"/>
                    <w:bidi w:val="0"/>
                    <w:adjustRightInd/>
                    <w:snapToGrid/>
                    <w:spacing w:beforeLines="0" w:afterLines="0" w:line="240" w:lineRule="auto"/>
                    <w:ind w:left="0" w:leftChars="0" w:right="0" w:rightChars="0" w:firstLine="0" w:firstLineChars="0"/>
                    <w:contextualSpacing/>
                    <w:jc w:val="center"/>
                    <w:textAlignment w:val="auto"/>
                    <w:rPr>
                      <w:rFonts w:hint="eastAsia"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项目属于</w:t>
                  </w:r>
                  <w:r>
                    <w:rPr>
                      <w:rFonts w:hint="default" w:ascii="Times New Roman" w:hAnsi="Times New Roman" w:eastAsia="宋体" w:cs="Times New Roman"/>
                      <w:color w:val="auto"/>
                      <w:sz w:val="21"/>
                      <w:szCs w:val="21"/>
                    </w:rPr>
                    <w:t>《产业结构调整指导目录（2024年本）》</w:t>
                  </w:r>
                  <w:r>
                    <w:rPr>
                      <w:rFonts w:hint="eastAsia" w:ascii="Times New Roman" w:hAnsi="Times New Roman" w:eastAsia="宋体" w:cs="Times New Roman"/>
                      <w:color w:val="auto"/>
                      <w:kern w:val="2"/>
                      <w:sz w:val="21"/>
                      <w:szCs w:val="21"/>
                      <w:lang w:val="en-US" w:eastAsia="zh-CN"/>
                    </w:rPr>
                    <w:t>鼓励类项目，不在</w:t>
                  </w:r>
                  <w:r>
                    <w:rPr>
                      <w:rFonts w:hint="default" w:ascii="Times New Roman" w:hAnsi="Times New Roman" w:eastAsia="宋体" w:cs="Times New Roman"/>
                      <w:color w:val="auto"/>
                      <w:sz w:val="21"/>
                      <w:szCs w:val="21"/>
                    </w:rPr>
                    <w:t>《市场准入负面清单（202</w:t>
                  </w:r>
                  <w:r>
                    <w:rPr>
                      <w:rFonts w:hint="eastAsia" w:cs="Times New Roman"/>
                      <w:color w:val="auto"/>
                      <w:sz w:val="21"/>
                      <w:szCs w:val="21"/>
                      <w:lang w:val="en-US" w:eastAsia="zh-CN"/>
                    </w:rPr>
                    <w:t>5</w:t>
                  </w:r>
                  <w:r>
                    <w:rPr>
                      <w:rFonts w:hint="default" w:ascii="Times New Roman" w:hAnsi="Times New Roman" w:eastAsia="宋体" w:cs="Times New Roman"/>
                      <w:color w:val="auto"/>
                      <w:sz w:val="21"/>
                      <w:szCs w:val="21"/>
                    </w:rPr>
                    <w:t>年版）》</w:t>
                  </w:r>
                  <w:r>
                    <w:rPr>
                      <w:rFonts w:hint="eastAsia" w:ascii="Times New Roman" w:hAnsi="Times New Roman" w:eastAsia="宋体" w:cs="Times New Roman"/>
                      <w:color w:val="auto"/>
                      <w:sz w:val="21"/>
                      <w:szCs w:val="21"/>
                      <w:lang w:val="en-US" w:eastAsia="zh-CN"/>
                    </w:rPr>
                    <w:t>内</w:t>
                  </w:r>
                </w:p>
              </w:tc>
              <w:tc>
                <w:tcPr>
                  <w:tcW w:w="436" w:type="pct"/>
                  <w:tcBorders>
                    <w:tl2br w:val="nil"/>
                    <w:tr2bl w:val="nil"/>
                  </w:tcBorders>
                  <w:tcMar>
                    <w:left w:w="0" w:type="dxa"/>
                    <w:right w:w="0" w:type="dxa"/>
                  </w:tcMar>
                  <w:vAlign w:val="center"/>
                </w:tcPr>
                <w:p>
                  <w:pPr>
                    <w:keepNext w:val="0"/>
                    <w:keepLines w:val="0"/>
                    <w:pageBreakBefore w:val="0"/>
                    <w:widowControl w:val="0"/>
                    <w:kinsoku/>
                    <w:wordWrap/>
                    <w:overflowPunct/>
                    <w:topLinePunct w:val="0"/>
                    <w:bidi w:val="0"/>
                    <w:adjustRightInd/>
                    <w:snapToGrid/>
                    <w:spacing w:beforeLines="0" w:afterLines="0" w:line="240" w:lineRule="auto"/>
                    <w:ind w:left="0" w:leftChars="0" w:right="0" w:rightChars="0" w:firstLine="0" w:firstLineChars="0"/>
                    <w:contextualSpacing/>
                    <w:jc w:val="center"/>
                    <w:textAlignment w:val="auto"/>
                    <w:rPr>
                      <w:rFonts w:hint="eastAsia"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455" w:type="pct"/>
                  <w:tcBorders>
                    <w:tl2br w:val="nil"/>
                    <w:tr2bl w:val="nil"/>
                  </w:tcBorders>
                  <w:tcMar>
                    <w:left w:w="0" w:type="dxa"/>
                    <w:right w:w="0" w:type="dxa"/>
                  </w:tcMar>
                  <w:vAlign w:val="center"/>
                </w:tcPr>
                <w:p>
                  <w:pPr>
                    <w:keepNext w:val="0"/>
                    <w:keepLines w:val="0"/>
                    <w:pageBreakBefore w:val="0"/>
                    <w:kinsoku/>
                    <w:wordWrap/>
                    <w:overflowPunct/>
                    <w:topLinePunct w:val="0"/>
                    <w:autoSpaceDE w:val="0"/>
                    <w:autoSpaceDN w:val="0"/>
                    <w:bidi w:val="0"/>
                    <w:adjustRightInd w:val="0"/>
                    <w:snapToGrid w:val="0"/>
                    <w:spacing w:line="240" w:lineRule="auto"/>
                    <w:ind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污染物排放管控</w:t>
                  </w:r>
                </w:p>
              </w:tc>
              <w:tc>
                <w:tcPr>
                  <w:tcW w:w="2425" w:type="pct"/>
                  <w:tcBorders>
                    <w:tl2br w:val="nil"/>
                    <w:tr2bl w:val="nil"/>
                  </w:tcBorders>
                  <w:tcMar>
                    <w:left w:w="0" w:type="dxa"/>
                    <w:right w:w="0" w:type="dxa"/>
                  </w:tcMar>
                  <w:vAlign w:val="center"/>
                </w:tcPr>
                <w:p>
                  <w:pPr>
                    <w:keepNext w:val="0"/>
                    <w:keepLines w:val="0"/>
                    <w:pageBreakBefore w:val="0"/>
                    <w:kinsoku/>
                    <w:wordWrap/>
                    <w:overflowPunct/>
                    <w:topLinePunct w:val="0"/>
                    <w:autoSpaceDE w:val="0"/>
                    <w:autoSpaceDN w:val="0"/>
                    <w:bidi w:val="0"/>
                    <w:adjustRightInd w:val="0"/>
                    <w:snapToGrid w:val="0"/>
                    <w:spacing w:line="240" w:lineRule="auto"/>
                    <w:ind w:leftChars="0"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1、污染物排放执行国家和地方相关标准中普适性要求。</w:t>
                  </w:r>
                </w:p>
                <w:p>
                  <w:pPr>
                    <w:keepNext w:val="0"/>
                    <w:keepLines w:val="0"/>
                    <w:pageBreakBefore w:val="0"/>
                    <w:kinsoku/>
                    <w:wordWrap/>
                    <w:overflowPunct/>
                    <w:topLinePunct w:val="0"/>
                    <w:autoSpaceDE w:val="0"/>
                    <w:autoSpaceDN w:val="0"/>
                    <w:bidi w:val="0"/>
                    <w:adjustRightInd w:val="0"/>
                    <w:snapToGrid w:val="0"/>
                    <w:spacing w:line="240" w:lineRule="auto"/>
                    <w:ind w:leftChars="0"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2、“乌-昌</w:t>
                  </w:r>
                  <w:bookmarkStart w:id="16" w:name="OLE_LINK24"/>
                  <w:r>
                    <w:rPr>
                      <w:rFonts w:hint="default" w:ascii="Times New Roman" w:hAnsi="Times New Roman" w:eastAsia="宋体" w:cs="Times New Roman"/>
                      <w:color w:val="auto"/>
                      <w:sz w:val="21"/>
                      <w:szCs w:val="21"/>
                    </w:rPr>
                    <w:t>-石”区域内，已实施超低排放的涉气排污单位，其实施超低排放改造的污染因子执行超低排放限值，其他污染因</w:t>
                  </w:r>
                  <w:bookmarkEnd w:id="16"/>
                  <w:r>
                    <w:rPr>
                      <w:rFonts w:hint="default" w:ascii="Times New Roman" w:hAnsi="Times New Roman" w:eastAsia="宋体" w:cs="Times New Roman"/>
                      <w:color w:val="auto"/>
                      <w:sz w:val="21"/>
                      <w:szCs w:val="21"/>
                    </w:rPr>
                    <w:t>子执行特别排放限值和特别控制要求。</w:t>
                  </w:r>
                </w:p>
                <w:p>
                  <w:pPr>
                    <w:keepNext w:val="0"/>
                    <w:keepLines w:val="0"/>
                    <w:pageBreakBefore w:val="0"/>
                    <w:kinsoku/>
                    <w:wordWrap/>
                    <w:overflowPunct/>
                    <w:topLinePunct w:val="0"/>
                    <w:autoSpaceDE w:val="0"/>
                    <w:autoSpaceDN w:val="0"/>
                    <w:bidi w:val="0"/>
                    <w:adjustRightInd w:val="0"/>
                    <w:snapToGrid w:val="0"/>
                    <w:spacing w:line="240" w:lineRule="auto"/>
                    <w:ind w:leftChars="0"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3、加强农业面源污染治理，科学合理使用化肥农药，逐步削减农业面源污染物排放量。</w:t>
                  </w:r>
                </w:p>
                <w:p>
                  <w:pPr>
                    <w:keepNext w:val="0"/>
                    <w:keepLines w:val="0"/>
                    <w:pageBreakBefore w:val="0"/>
                    <w:kinsoku/>
                    <w:wordWrap/>
                    <w:overflowPunct/>
                    <w:topLinePunct w:val="0"/>
                    <w:autoSpaceDE w:val="0"/>
                    <w:autoSpaceDN w:val="0"/>
                    <w:bidi w:val="0"/>
                    <w:adjustRightInd w:val="0"/>
                    <w:snapToGrid w:val="0"/>
                    <w:spacing w:line="240" w:lineRule="auto"/>
                    <w:ind w:leftChars="0"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4、施工工地全面落实“六个百分之百”（施工工地周边围挡、物料堆放覆盖、出入车辆冲洗、施工现场地面硬化、拆迁工地湿法作业、渣土车辆密闭运输）。</w:t>
                  </w:r>
                </w:p>
              </w:tc>
              <w:tc>
                <w:tcPr>
                  <w:tcW w:w="1682" w:type="pct"/>
                  <w:tcBorders>
                    <w:tl2br w:val="nil"/>
                    <w:tr2bl w:val="nil"/>
                  </w:tcBorders>
                  <w:tcMar>
                    <w:left w:w="0" w:type="dxa"/>
                    <w:right w:w="0" w:type="dxa"/>
                  </w:tcMar>
                  <w:vAlign w:val="center"/>
                </w:tcPr>
                <w:p>
                  <w:pPr>
                    <w:keepNext w:val="0"/>
                    <w:keepLines w:val="0"/>
                    <w:pageBreakBefore w:val="0"/>
                    <w:kinsoku/>
                    <w:wordWrap/>
                    <w:overflowPunct/>
                    <w:topLinePunct w:val="0"/>
                    <w:bidi w:val="0"/>
                    <w:snapToGrid w:val="0"/>
                    <w:spacing w:line="240" w:lineRule="auto"/>
                    <w:ind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施工期产生的污染影响随施工结束而消失且无运营期；</w:t>
                  </w:r>
                  <w:r>
                    <w:rPr>
                      <w:rFonts w:hint="eastAsia" w:ascii="Times New Roman" w:hAnsi="Times New Roman" w:eastAsia="宋体" w:cs="Times New Roman"/>
                      <w:color w:val="auto"/>
                      <w:sz w:val="21"/>
                      <w:szCs w:val="21"/>
                      <w:lang w:val="en-US" w:eastAsia="zh-CN"/>
                    </w:rPr>
                    <w:t>项目不涉及农业面源污染</w:t>
                  </w:r>
                </w:p>
              </w:tc>
              <w:tc>
                <w:tcPr>
                  <w:tcW w:w="436" w:type="pct"/>
                  <w:tcBorders>
                    <w:tl2br w:val="nil"/>
                    <w:tr2bl w:val="nil"/>
                  </w:tcBorders>
                  <w:tcMar>
                    <w:left w:w="0" w:type="dxa"/>
                    <w:right w:w="0" w:type="dxa"/>
                  </w:tcMar>
                  <w:vAlign w:val="center"/>
                </w:tcPr>
                <w:p>
                  <w:pPr>
                    <w:keepNext w:val="0"/>
                    <w:keepLines w:val="0"/>
                    <w:pageBreakBefore w:val="0"/>
                    <w:kinsoku/>
                    <w:wordWrap/>
                    <w:overflowPunct/>
                    <w:topLinePunct w:val="0"/>
                    <w:bidi w:val="0"/>
                    <w:snapToGrid w:val="0"/>
                    <w:spacing w:line="240" w:lineRule="auto"/>
                    <w:ind w:leftChars="0" w:right="0" w:rightChars="0"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kern w:val="2"/>
                      <w:sz w:val="21"/>
                      <w:szCs w:val="21"/>
                      <w:lang w:val="en-US" w:eastAsia="zh-CN"/>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455" w:type="pct"/>
                  <w:tcBorders>
                    <w:tl2br w:val="nil"/>
                    <w:tr2bl w:val="nil"/>
                  </w:tcBorders>
                  <w:tcMar>
                    <w:left w:w="0" w:type="dxa"/>
                    <w:right w:w="0" w:type="dxa"/>
                  </w:tcMar>
                  <w:vAlign w:val="center"/>
                </w:tcPr>
                <w:p>
                  <w:pPr>
                    <w:keepNext w:val="0"/>
                    <w:keepLines w:val="0"/>
                    <w:pageBreakBefore w:val="0"/>
                    <w:numPr>
                      <w:ilvl w:val="0"/>
                      <w:numId w:val="0"/>
                    </w:numPr>
                    <w:kinsoku/>
                    <w:wordWrap/>
                    <w:overflowPunct/>
                    <w:topLinePunct w:val="0"/>
                    <w:bidi w:val="0"/>
                    <w:snapToGrid w:val="0"/>
                    <w:spacing w:line="240" w:lineRule="auto"/>
                    <w:ind w:leftChars="0" w:right="0" w:rightChars="0"/>
                    <w:jc w:val="center"/>
                    <w:textAlignment w:val="auto"/>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环境风险防控</w:t>
                  </w:r>
                </w:p>
              </w:tc>
              <w:tc>
                <w:tcPr>
                  <w:tcW w:w="2425" w:type="pct"/>
                  <w:tcBorders>
                    <w:tl2br w:val="nil"/>
                    <w:tr2bl w:val="nil"/>
                  </w:tcBorders>
                  <w:tcMar>
                    <w:left w:w="0" w:type="dxa"/>
                    <w:right w:w="0" w:type="dxa"/>
                  </w:tcMar>
                  <w:vAlign w:val="center"/>
                </w:tcPr>
                <w:p>
                  <w:pPr>
                    <w:keepNext w:val="0"/>
                    <w:keepLines w:val="0"/>
                    <w:pageBreakBefore w:val="0"/>
                    <w:numPr>
                      <w:ilvl w:val="0"/>
                      <w:numId w:val="0"/>
                    </w:numPr>
                    <w:kinsoku/>
                    <w:wordWrap/>
                    <w:overflowPunct/>
                    <w:topLinePunct w:val="0"/>
                    <w:bidi w:val="0"/>
                    <w:snapToGrid w:val="0"/>
                    <w:spacing w:line="240" w:lineRule="auto"/>
                    <w:ind w:leftChars="0" w:right="0" w:rightChars="0"/>
                    <w:jc w:val="center"/>
                    <w:textAlignment w:val="auto"/>
                    <w:rPr>
                      <w:rFonts w:hint="default" w:ascii="Times New Roman" w:hAnsi="Times New Roman" w:eastAsia="宋体" w:cs="Times New Roman"/>
                      <w:color w:val="auto"/>
                      <w:spacing w:val="0"/>
                      <w:sz w:val="21"/>
                      <w:szCs w:val="21"/>
                    </w:rPr>
                  </w:pPr>
                  <w:r>
                    <w:rPr>
                      <w:rFonts w:hint="eastAsia" w:ascii="Times New Roman" w:hAnsi="Times New Roman" w:eastAsia="宋体" w:cs="Times New Roman"/>
                      <w:color w:val="auto"/>
                      <w:spacing w:val="0"/>
                      <w:sz w:val="21"/>
                      <w:szCs w:val="21"/>
                      <w:lang w:val="en-US" w:eastAsia="zh-CN"/>
                    </w:rPr>
                    <w:t>1、</w:t>
                  </w:r>
                  <w:r>
                    <w:rPr>
                      <w:rFonts w:hint="default" w:ascii="Times New Roman" w:hAnsi="Times New Roman" w:eastAsia="宋体" w:cs="Times New Roman"/>
                      <w:color w:val="auto"/>
                      <w:spacing w:val="0"/>
                      <w:sz w:val="21"/>
                      <w:szCs w:val="21"/>
                    </w:rPr>
                    <w:t>执行区域生态环境保护的基本要求。</w:t>
                  </w:r>
                </w:p>
                <w:p>
                  <w:pPr>
                    <w:keepNext w:val="0"/>
                    <w:keepLines w:val="0"/>
                    <w:pageBreakBefore w:val="0"/>
                    <w:numPr>
                      <w:ilvl w:val="0"/>
                      <w:numId w:val="0"/>
                    </w:numPr>
                    <w:kinsoku/>
                    <w:wordWrap/>
                    <w:overflowPunct/>
                    <w:topLinePunct w:val="0"/>
                    <w:bidi w:val="0"/>
                    <w:snapToGrid w:val="0"/>
                    <w:spacing w:line="240" w:lineRule="auto"/>
                    <w:ind w:leftChars="0" w:right="0" w:rightChars="0"/>
                    <w:jc w:val="center"/>
                    <w:textAlignment w:val="auto"/>
                    <w:rPr>
                      <w:rFonts w:hint="default" w:ascii="Times New Roman" w:hAnsi="Times New Roman" w:eastAsia="宋体" w:cs="Times New Roman"/>
                      <w:color w:val="auto"/>
                      <w:spacing w:val="0"/>
                      <w:sz w:val="21"/>
                      <w:szCs w:val="21"/>
                    </w:rPr>
                  </w:pPr>
                  <w:r>
                    <w:rPr>
                      <w:rFonts w:hint="eastAsia" w:ascii="Times New Roman" w:hAnsi="Times New Roman" w:eastAsia="宋体" w:cs="Times New Roman"/>
                      <w:color w:val="auto"/>
                      <w:spacing w:val="0"/>
                      <w:sz w:val="21"/>
                      <w:szCs w:val="21"/>
                      <w:lang w:val="en-US" w:eastAsia="zh-CN"/>
                    </w:rPr>
                    <w:t>2、</w:t>
                  </w:r>
                  <w:r>
                    <w:rPr>
                      <w:rFonts w:hint="default" w:ascii="Times New Roman" w:hAnsi="Times New Roman" w:eastAsia="宋体" w:cs="Times New Roman"/>
                      <w:color w:val="auto"/>
                      <w:spacing w:val="0"/>
                      <w:sz w:val="21"/>
                      <w:szCs w:val="21"/>
                    </w:rPr>
                    <w:t>执行昌吉州总体准入清单中的要求。</w:t>
                  </w:r>
                </w:p>
              </w:tc>
              <w:tc>
                <w:tcPr>
                  <w:tcW w:w="1682" w:type="pct"/>
                  <w:tcBorders>
                    <w:tl2br w:val="nil"/>
                    <w:tr2bl w:val="nil"/>
                  </w:tcBorders>
                  <w:tcMar>
                    <w:left w:w="0" w:type="dxa"/>
                    <w:right w:w="0" w:type="dxa"/>
                  </w:tcMar>
                  <w:vAlign w:val="center"/>
                </w:tcPr>
                <w:p>
                  <w:pPr>
                    <w:keepNext w:val="0"/>
                    <w:keepLines w:val="0"/>
                    <w:pageBreakBefore w:val="0"/>
                    <w:kinsoku/>
                    <w:wordWrap/>
                    <w:overflowPunct/>
                    <w:topLinePunct w:val="0"/>
                    <w:bidi w:val="0"/>
                    <w:snapToGrid w:val="0"/>
                    <w:spacing w:line="240" w:lineRule="auto"/>
                    <w:ind w:leftChars="0"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项目无运营期，占地均为临时占地，施工期产生的油基岩屑等危险废物均委托有资质的单位处置，施工结束后会对场地进行清理、平整，确保无废弃物遗留，不会对土壤造成污染影响</w:t>
                  </w:r>
                </w:p>
              </w:tc>
              <w:tc>
                <w:tcPr>
                  <w:tcW w:w="436" w:type="pct"/>
                  <w:tcBorders>
                    <w:tl2br w:val="nil"/>
                    <w:tr2bl w:val="nil"/>
                  </w:tcBorders>
                  <w:tcMar>
                    <w:left w:w="0" w:type="dxa"/>
                    <w:right w:w="0" w:type="dxa"/>
                  </w:tcMar>
                  <w:vAlign w:val="center"/>
                </w:tcPr>
                <w:p>
                  <w:pPr>
                    <w:keepNext w:val="0"/>
                    <w:keepLines w:val="0"/>
                    <w:pageBreakBefore w:val="0"/>
                    <w:kinsoku/>
                    <w:wordWrap/>
                    <w:overflowPunct/>
                    <w:topLinePunct w:val="0"/>
                    <w:bidi w:val="0"/>
                    <w:snapToGrid w:val="0"/>
                    <w:spacing w:line="240" w:lineRule="auto"/>
                    <w:ind w:leftChars="0" w:right="0" w:rightChars="0"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kern w:val="2"/>
                      <w:sz w:val="21"/>
                      <w:szCs w:val="21"/>
                      <w:lang w:val="en-US" w:eastAsia="zh-CN"/>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455" w:type="pct"/>
                  <w:tcBorders>
                    <w:tl2br w:val="nil"/>
                    <w:tr2bl w:val="nil"/>
                  </w:tcBorders>
                  <w:tcMar>
                    <w:left w:w="0" w:type="dxa"/>
                    <w:right w:w="0" w:type="dxa"/>
                  </w:tcMar>
                  <w:vAlign w:val="center"/>
                </w:tcPr>
                <w:p>
                  <w:pPr>
                    <w:keepNext w:val="0"/>
                    <w:keepLines w:val="0"/>
                    <w:pageBreakBefore w:val="0"/>
                    <w:numPr>
                      <w:ilvl w:val="0"/>
                      <w:numId w:val="0"/>
                    </w:numPr>
                    <w:kinsoku/>
                    <w:wordWrap/>
                    <w:overflowPunct/>
                    <w:topLinePunct w:val="0"/>
                    <w:bidi w:val="0"/>
                    <w:snapToGrid w:val="0"/>
                    <w:spacing w:line="240" w:lineRule="auto"/>
                    <w:ind w:leftChars="0" w:right="0" w:rightChars="0"/>
                    <w:jc w:val="center"/>
                    <w:textAlignment w:val="auto"/>
                    <w:rPr>
                      <w:rFonts w:hint="default"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资源利用效率要求</w:t>
                  </w:r>
                </w:p>
              </w:tc>
              <w:tc>
                <w:tcPr>
                  <w:tcW w:w="2425" w:type="pct"/>
                  <w:tcBorders>
                    <w:tl2br w:val="nil"/>
                    <w:tr2bl w:val="nil"/>
                  </w:tcBorders>
                  <w:tcMar>
                    <w:left w:w="0" w:type="dxa"/>
                    <w:right w:w="0" w:type="dxa"/>
                  </w:tcMar>
                  <w:vAlign w:val="center"/>
                </w:tcPr>
                <w:p>
                  <w:pPr>
                    <w:keepNext w:val="0"/>
                    <w:keepLines w:val="0"/>
                    <w:pageBreakBefore w:val="0"/>
                    <w:numPr>
                      <w:ilvl w:val="0"/>
                      <w:numId w:val="0"/>
                    </w:numPr>
                    <w:kinsoku/>
                    <w:wordWrap/>
                    <w:overflowPunct/>
                    <w:topLinePunct w:val="0"/>
                    <w:bidi w:val="0"/>
                    <w:snapToGrid w:val="0"/>
                    <w:spacing w:line="240" w:lineRule="auto"/>
                    <w:ind w:leftChars="0" w:right="0" w:rightChars="0"/>
                    <w:jc w:val="center"/>
                    <w:textAlignment w:val="auto"/>
                    <w:rPr>
                      <w:rFonts w:hint="default" w:ascii="Times New Roman" w:hAnsi="Times New Roman" w:eastAsia="宋体" w:cs="Times New Roman"/>
                      <w:color w:val="auto"/>
                      <w:spacing w:val="0"/>
                      <w:sz w:val="21"/>
                      <w:szCs w:val="21"/>
                    </w:rPr>
                  </w:pPr>
                  <w:r>
                    <w:rPr>
                      <w:rFonts w:hint="eastAsia" w:ascii="Times New Roman" w:hAnsi="Times New Roman" w:eastAsia="宋体" w:cs="Times New Roman"/>
                      <w:color w:val="auto"/>
                      <w:spacing w:val="0"/>
                      <w:sz w:val="21"/>
                      <w:szCs w:val="21"/>
                      <w:lang w:val="en-US" w:eastAsia="zh-CN"/>
                    </w:rPr>
                    <w:t>1、</w:t>
                  </w:r>
                  <w:r>
                    <w:rPr>
                      <w:rFonts w:hint="default" w:ascii="Times New Roman" w:hAnsi="Times New Roman" w:eastAsia="宋体" w:cs="Times New Roman"/>
                      <w:color w:val="auto"/>
                      <w:spacing w:val="0"/>
                      <w:sz w:val="21"/>
                      <w:szCs w:val="21"/>
                    </w:rPr>
                    <w:t>执行区域资源能源利用的基本要求。</w:t>
                  </w:r>
                </w:p>
                <w:p>
                  <w:pPr>
                    <w:keepNext w:val="0"/>
                    <w:keepLines w:val="0"/>
                    <w:pageBreakBefore w:val="0"/>
                    <w:numPr>
                      <w:ilvl w:val="0"/>
                      <w:numId w:val="0"/>
                    </w:numPr>
                    <w:kinsoku/>
                    <w:wordWrap/>
                    <w:overflowPunct/>
                    <w:topLinePunct w:val="0"/>
                    <w:bidi w:val="0"/>
                    <w:snapToGrid w:val="0"/>
                    <w:spacing w:line="240" w:lineRule="auto"/>
                    <w:ind w:leftChars="0" w:right="0" w:rightChars="0"/>
                    <w:jc w:val="center"/>
                    <w:textAlignment w:val="auto"/>
                    <w:rPr>
                      <w:rFonts w:hint="default" w:ascii="Times New Roman" w:hAnsi="Times New Roman" w:eastAsia="宋体" w:cs="Times New Roman"/>
                      <w:color w:val="auto"/>
                      <w:spacing w:val="0"/>
                      <w:sz w:val="21"/>
                      <w:szCs w:val="21"/>
                    </w:rPr>
                  </w:pPr>
                  <w:r>
                    <w:rPr>
                      <w:rFonts w:hint="eastAsia" w:ascii="Times New Roman" w:hAnsi="Times New Roman" w:eastAsia="宋体" w:cs="Times New Roman"/>
                      <w:color w:val="auto"/>
                      <w:spacing w:val="0"/>
                      <w:sz w:val="21"/>
                      <w:szCs w:val="21"/>
                      <w:lang w:val="en-US" w:eastAsia="zh-CN"/>
                    </w:rPr>
                    <w:t>2、</w:t>
                  </w:r>
                  <w:r>
                    <w:rPr>
                      <w:rFonts w:hint="default" w:ascii="Times New Roman" w:hAnsi="Times New Roman" w:eastAsia="宋体" w:cs="Times New Roman"/>
                      <w:color w:val="auto"/>
                      <w:spacing w:val="0"/>
                      <w:sz w:val="21"/>
                      <w:szCs w:val="21"/>
                    </w:rPr>
                    <w:t>执行昌吉州总体准入清单中的要求。</w:t>
                  </w:r>
                </w:p>
              </w:tc>
              <w:tc>
                <w:tcPr>
                  <w:tcW w:w="1682" w:type="pct"/>
                  <w:tcBorders>
                    <w:tl2br w:val="nil"/>
                    <w:tr2bl w:val="nil"/>
                  </w:tcBorders>
                  <w:tcMar>
                    <w:left w:w="0" w:type="dxa"/>
                    <w:right w:w="0" w:type="dxa"/>
                  </w:tcMar>
                  <w:vAlign w:val="center"/>
                </w:tcPr>
                <w:p>
                  <w:pPr>
                    <w:keepNext w:val="0"/>
                    <w:keepLines w:val="0"/>
                    <w:pageBreakBefore w:val="0"/>
                    <w:kinsoku/>
                    <w:wordWrap/>
                    <w:overflowPunct/>
                    <w:topLinePunct w:val="0"/>
                    <w:bidi w:val="0"/>
                    <w:snapToGrid w:val="0"/>
                    <w:spacing w:line="240" w:lineRule="auto"/>
                    <w:ind w:leftChars="0" w:right="0" w:righ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项目施工期仅消耗少量新鲜水和柴油；不开采地下水</w:t>
                  </w:r>
                </w:p>
              </w:tc>
              <w:tc>
                <w:tcPr>
                  <w:tcW w:w="436" w:type="pct"/>
                  <w:tcBorders>
                    <w:tl2br w:val="nil"/>
                    <w:tr2bl w:val="nil"/>
                  </w:tcBorders>
                  <w:tcMar>
                    <w:left w:w="0" w:type="dxa"/>
                    <w:right w:w="0" w:type="dxa"/>
                  </w:tcMar>
                  <w:vAlign w:val="center"/>
                </w:tcPr>
                <w:p>
                  <w:pPr>
                    <w:keepNext w:val="0"/>
                    <w:keepLines w:val="0"/>
                    <w:pageBreakBefore w:val="0"/>
                    <w:kinsoku/>
                    <w:wordWrap/>
                    <w:overflowPunct/>
                    <w:topLinePunct w:val="0"/>
                    <w:bidi w:val="0"/>
                    <w:snapToGrid w:val="0"/>
                    <w:spacing w:line="240" w:lineRule="auto"/>
                    <w:ind w:leftChars="0" w:right="0" w:rightChars="0"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kern w:val="2"/>
                      <w:sz w:val="21"/>
                      <w:szCs w:val="21"/>
                      <w:lang w:val="en-US" w:eastAsia="zh-CN"/>
                    </w:rPr>
                    <w:t>符合</w:t>
                  </w:r>
                </w:p>
              </w:tc>
            </w:tr>
          </w:tbl>
          <w:p>
            <w:pPr>
              <w:pStyle w:val="10"/>
              <w:bidi w:val="0"/>
              <w:ind w:firstLine="480" w:firstLineChars="200"/>
              <w:rPr>
                <w:rFonts w:hint="eastAsia" w:ascii="宋体" w:hAnsi="宋体" w:eastAsia="宋体" w:cs="宋体"/>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90" w:hRule="atLeast"/>
        </w:trPr>
        <w:tc>
          <w:tcPr>
            <w:tcW w:w="201" w:type="pct"/>
            <w:gridSpan w:val="2"/>
            <w:vAlign w:val="center"/>
          </w:tcPr>
          <w:p>
            <w:pPr>
              <w:autoSpaceDE w:val="0"/>
              <w:autoSpaceDN w:val="0"/>
              <w:adjustRightInd w:val="0"/>
              <w:snapToGrid w:val="0"/>
              <w:spacing w:line="300" w:lineRule="exact"/>
              <w:jc w:val="center"/>
              <w:rPr>
                <w:rFonts w:hint="default" w:ascii="Times New Roman" w:hAnsi="Times New Roman" w:cs="Times New Roman"/>
                <w:color w:val="auto"/>
                <w:kern w:val="0"/>
              </w:rPr>
            </w:pPr>
            <w:bookmarkStart w:id="17" w:name="_Hlk56690880"/>
            <w:r>
              <w:rPr>
                <w:rFonts w:hint="default" w:ascii="Times New Roman" w:hAnsi="Times New Roman" w:cs="Times New Roman"/>
                <w:color w:val="auto"/>
              </w:rPr>
              <w:t>其他符合性分析</w:t>
            </w:r>
            <w:bookmarkEnd w:id="17"/>
          </w:p>
        </w:tc>
        <w:tc>
          <w:tcPr>
            <w:tcW w:w="4798" w:type="pct"/>
            <w:gridSpan w:val="4"/>
            <w:vAlign w:val="center"/>
          </w:tcPr>
          <w:p>
            <w:pPr>
              <w:pStyle w:val="54"/>
              <w:numPr>
                <w:ilvl w:val="0"/>
                <w:numId w:val="7"/>
              </w:numPr>
              <w:bidi w:val="0"/>
              <w:ind w:left="9" w:leftChars="0" w:firstLineChars="0"/>
              <w:rPr>
                <w:rFonts w:hint="default" w:ascii="Times New Roman" w:hAnsi="Times New Roman" w:cs="Times New Roman"/>
                <w:b/>
                <w:color w:val="auto"/>
                <w:spacing w:val="-6"/>
                <w:sz w:val="24"/>
                <w:lang w:val="en-US" w:eastAsia="zh-CN"/>
              </w:rPr>
            </w:pPr>
            <w:bookmarkStart w:id="18" w:name="OLE_LINK8"/>
            <w:r>
              <w:rPr>
                <w:rFonts w:hint="default" w:ascii="Times New Roman" w:hAnsi="Times New Roman" w:cs="Times New Roman"/>
                <w:b/>
                <w:color w:val="auto"/>
                <w:spacing w:val="-6"/>
                <w:sz w:val="24"/>
                <w:lang w:val="en-US" w:eastAsia="zh-CN"/>
              </w:rPr>
              <w:t>与</w:t>
            </w:r>
            <w:r>
              <w:rPr>
                <w:rFonts w:hint="default" w:ascii="Times New Roman" w:hAnsi="Times New Roman" w:cs="Times New Roman"/>
                <w:b/>
                <w:color w:val="auto"/>
                <w:spacing w:val="-6"/>
                <w:sz w:val="24"/>
              </w:rPr>
              <w:t>《关于进一步加强石</w:t>
            </w:r>
            <w:bookmarkStart w:id="19" w:name="OLE_LINK7"/>
            <w:r>
              <w:rPr>
                <w:rFonts w:hint="default" w:ascii="Times New Roman" w:hAnsi="Times New Roman" w:cs="Times New Roman"/>
                <w:b/>
                <w:color w:val="auto"/>
                <w:spacing w:val="-6"/>
                <w:sz w:val="24"/>
              </w:rPr>
              <w:t>油天</w:t>
            </w:r>
            <w:bookmarkStart w:id="20" w:name="OLE_LINK12"/>
            <w:r>
              <w:rPr>
                <w:rFonts w:hint="default" w:ascii="Times New Roman" w:hAnsi="Times New Roman" w:cs="Times New Roman"/>
                <w:b/>
                <w:color w:val="auto"/>
                <w:spacing w:val="-6"/>
                <w:sz w:val="24"/>
              </w:rPr>
              <w:t>然气行业环境影响评价</w:t>
            </w:r>
            <w:bookmarkEnd w:id="19"/>
            <w:r>
              <w:rPr>
                <w:rFonts w:hint="default" w:ascii="Times New Roman" w:hAnsi="Times New Roman" w:cs="Times New Roman"/>
                <w:b/>
                <w:color w:val="auto"/>
                <w:spacing w:val="-6"/>
                <w:sz w:val="24"/>
              </w:rPr>
              <w:t>管理</w:t>
            </w:r>
            <w:bookmarkEnd w:id="20"/>
            <w:r>
              <w:rPr>
                <w:rFonts w:hint="default" w:ascii="Times New Roman" w:hAnsi="Times New Roman" w:cs="Times New Roman"/>
                <w:b/>
                <w:color w:val="auto"/>
                <w:spacing w:val="-6"/>
                <w:sz w:val="24"/>
              </w:rPr>
              <w:t>的通知》</w:t>
            </w:r>
            <w:r>
              <w:rPr>
                <w:rFonts w:hint="default" w:ascii="Times New Roman" w:hAnsi="Times New Roman" w:cs="Times New Roman"/>
                <w:b/>
                <w:color w:val="auto"/>
                <w:spacing w:val="-6"/>
                <w:sz w:val="24"/>
                <w:lang w:val="en-US" w:eastAsia="zh-CN"/>
              </w:rPr>
              <w:t>（环办环评函〔2019〕910号）及〈转发《关于进一步加强石油天然气行业环境影响评价的通知》的通知〉（新环环评发〔2020〕142号）的符合性分析</w:t>
            </w:r>
            <w:bookmarkEnd w:id="18"/>
          </w:p>
          <w:p>
            <w:pPr>
              <w:pStyle w:val="10"/>
              <w:bidi w:val="0"/>
              <w:rPr>
                <w:rFonts w:hint="default"/>
                <w:color w:val="auto"/>
                <w:lang w:val="en-US" w:eastAsia="zh-CN"/>
              </w:rPr>
            </w:pPr>
            <w:r>
              <w:rPr>
                <w:rFonts w:hint="default"/>
                <w:color w:val="auto"/>
                <w:lang w:val="en-US" w:eastAsia="zh-CN"/>
              </w:rPr>
              <w:t>本项目与</w:t>
            </w:r>
            <w:r>
              <w:rPr>
                <w:rFonts w:hint="default"/>
                <w:color w:val="auto"/>
              </w:rPr>
              <w:t>《关于进一步加强石油天然气行业环境影响评价管理的通知》</w:t>
            </w:r>
            <w:r>
              <w:rPr>
                <w:rFonts w:hint="default"/>
                <w:color w:val="auto"/>
                <w:lang w:val="en-US" w:eastAsia="zh-CN"/>
              </w:rPr>
              <w:t>（环办环评函〔2019〕910号）及〈转发《关于进一步加强石油天然气行业环境影响评价的通知》的通知〉（新环环评发〔2020〕142号）的符合性分析见表1-</w:t>
            </w:r>
            <w:r>
              <w:rPr>
                <w:rFonts w:hint="eastAsia"/>
                <w:color w:val="auto"/>
                <w:lang w:val="en-US" w:eastAsia="zh-CN"/>
              </w:rPr>
              <w:t>5</w:t>
            </w:r>
            <w:r>
              <w:rPr>
                <w:rFonts w:hint="default"/>
                <w:color w:val="auto"/>
                <w:lang w:val="en-US" w:eastAsia="zh-CN"/>
              </w:rPr>
              <w:t>。</w:t>
            </w:r>
          </w:p>
          <w:p>
            <w:pPr>
              <w:pStyle w:val="56"/>
              <w:bidi w:val="0"/>
              <w:rPr>
                <w:rFonts w:hint="default" w:ascii="Times New Roman" w:hAnsi="Times New Roman" w:cs="Times New Roman"/>
                <w:color w:val="auto"/>
                <w:lang w:val="en-US" w:eastAsia="zh-CN"/>
              </w:rPr>
            </w:pPr>
            <w:r>
              <w:rPr>
                <w:rFonts w:hint="default" w:ascii="Times New Roman" w:hAnsi="Times New Roman" w:cs="Times New Roman"/>
                <w:color w:val="auto"/>
              </w:rPr>
              <w:t>表</w:t>
            </w:r>
            <w:r>
              <w:rPr>
                <w:rFonts w:hint="default" w:ascii="Times New Roman" w:hAnsi="Times New Roman" w:cs="Times New Roman"/>
                <w:color w:val="auto"/>
                <w:lang w:val="en-US" w:eastAsia="zh-CN"/>
              </w:rPr>
              <w:t>1-</w:t>
            </w:r>
            <w:r>
              <w:rPr>
                <w:rFonts w:hint="eastAsia" w:ascii="Times New Roman" w:hAnsi="Times New Roman" w:cs="Times New Roman"/>
                <w:color w:val="auto"/>
                <w:lang w:val="en-US" w:eastAsia="zh-CN"/>
              </w:rPr>
              <w:t>5</w:t>
            </w:r>
            <w:r>
              <w:rPr>
                <w:rFonts w:hint="default" w:ascii="Times New Roman" w:hAnsi="Times New Roman" w:cs="Times New Roman"/>
                <w:color w:val="auto"/>
                <w:lang w:val="en-US" w:eastAsia="zh-CN"/>
              </w:rPr>
              <w:t xml:space="preserve">  本项目与《通知》相关要求符合性分析</w:t>
            </w:r>
          </w:p>
          <w:tbl>
            <w:tblPr>
              <w:tblStyle w:val="28"/>
              <w:tblW w:w="500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3" w:type="dxa"/>
                <w:bottom w:w="0" w:type="dxa"/>
                <w:right w:w="23" w:type="dxa"/>
              </w:tblCellMar>
            </w:tblPr>
            <w:tblGrid>
              <w:gridCol w:w="749"/>
              <w:gridCol w:w="3241"/>
              <w:gridCol w:w="3355"/>
              <w:gridCol w:w="103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c>
                <w:tcPr>
                  <w:tcW w:w="749" w:type="dxa"/>
                  <w:tcBorders>
                    <w:tl2br w:val="nil"/>
                    <w:tr2bl w:val="nil"/>
                  </w:tcBorders>
                  <w:vAlign w:val="center"/>
                </w:tcPr>
                <w:p>
                  <w:pPr>
                    <w:pStyle w:val="35"/>
                    <w:bidi w:val="0"/>
                    <w:spacing w:line="240" w:lineRule="auto"/>
                    <w:rPr>
                      <w:rFonts w:hint="default" w:ascii="Times New Roman" w:hAnsi="Times New Roman" w:cs="Times New Roman"/>
                      <w:color w:val="auto"/>
                      <w:szCs w:val="21"/>
                      <w:lang w:val="en-US" w:eastAsia="zh-CN"/>
                    </w:rPr>
                  </w:pPr>
                  <w:r>
                    <w:rPr>
                      <w:rFonts w:hint="default"/>
                      <w:color w:val="auto"/>
                      <w:lang w:val="en-US" w:eastAsia="zh-CN"/>
                    </w:rPr>
                    <w:t>序号</w:t>
                  </w:r>
                </w:p>
              </w:tc>
              <w:tc>
                <w:tcPr>
                  <w:tcW w:w="3241" w:type="dxa"/>
                  <w:tcBorders>
                    <w:tl2br w:val="nil"/>
                    <w:tr2bl w:val="nil"/>
                  </w:tcBorders>
                  <w:vAlign w:val="center"/>
                </w:tcPr>
                <w:p>
                  <w:pPr>
                    <w:pStyle w:val="35"/>
                    <w:bidi w:val="0"/>
                    <w:spacing w:line="240" w:lineRule="auto"/>
                    <w:rPr>
                      <w:rFonts w:hint="default" w:ascii="Times New Roman" w:hAnsi="Times New Roman" w:cs="Times New Roman"/>
                      <w:color w:val="auto"/>
                      <w:szCs w:val="21"/>
                      <w:lang w:val="en-US" w:eastAsia="zh-CN"/>
                    </w:rPr>
                  </w:pPr>
                  <w:r>
                    <w:rPr>
                      <w:rFonts w:hint="default"/>
                      <w:color w:val="auto"/>
                      <w:lang w:val="en-US" w:eastAsia="zh-CN"/>
                    </w:rPr>
                    <w:t>《通知》要求</w:t>
                  </w:r>
                </w:p>
              </w:tc>
              <w:tc>
                <w:tcPr>
                  <w:tcW w:w="3355" w:type="dxa"/>
                  <w:tcBorders>
                    <w:tl2br w:val="nil"/>
                    <w:tr2bl w:val="nil"/>
                  </w:tcBorders>
                  <w:vAlign w:val="center"/>
                </w:tcPr>
                <w:p>
                  <w:pPr>
                    <w:pStyle w:val="35"/>
                    <w:bidi w:val="0"/>
                    <w:spacing w:line="240" w:lineRule="auto"/>
                    <w:rPr>
                      <w:rFonts w:hint="default" w:ascii="Times New Roman" w:hAnsi="Times New Roman" w:cs="Times New Roman"/>
                      <w:color w:val="auto"/>
                      <w:szCs w:val="21"/>
                      <w:lang w:val="en-US" w:eastAsia="zh-CN"/>
                    </w:rPr>
                  </w:pPr>
                  <w:r>
                    <w:rPr>
                      <w:rFonts w:hint="default"/>
                      <w:color w:val="auto"/>
                      <w:lang w:val="en-US" w:eastAsia="zh-CN"/>
                    </w:rPr>
                    <w:t>本项目情况</w:t>
                  </w:r>
                </w:p>
              </w:tc>
              <w:tc>
                <w:tcPr>
                  <w:tcW w:w="1034" w:type="dxa"/>
                  <w:tcBorders>
                    <w:tl2br w:val="nil"/>
                    <w:tr2bl w:val="nil"/>
                  </w:tcBorders>
                  <w:vAlign w:val="center"/>
                </w:tcPr>
                <w:p>
                  <w:pPr>
                    <w:pStyle w:val="35"/>
                    <w:bidi w:val="0"/>
                    <w:spacing w:line="240" w:lineRule="auto"/>
                    <w:rPr>
                      <w:rFonts w:hint="default" w:ascii="Times New Roman" w:hAnsi="Times New Roman" w:cs="Times New Roman"/>
                      <w:color w:val="auto"/>
                      <w:szCs w:val="21"/>
                      <w:lang w:val="en-US" w:eastAsia="zh-CN"/>
                    </w:rPr>
                  </w:pPr>
                  <w:r>
                    <w:rPr>
                      <w:rFonts w:hint="default"/>
                      <w:color w:val="auto"/>
                      <w:lang w:val="en-US" w:eastAsia="zh-CN"/>
                    </w:rPr>
                    <w:t>符合性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c>
                <w:tcPr>
                  <w:tcW w:w="749" w:type="dxa"/>
                  <w:tcBorders>
                    <w:tl2br w:val="nil"/>
                    <w:tr2bl w:val="nil"/>
                  </w:tcBorders>
                  <w:vAlign w:val="center"/>
                </w:tcPr>
                <w:p>
                  <w:pPr>
                    <w:pStyle w:val="35"/>
                    <w:bidi w:val="0"/>
                    <w:spacing w:line="240" w:lineRule="auto"/>
                    <w:rPr>
                      <w:rFonts w:hint="default" w:ascii="Times New Roman" w:hAnsi="Times New Roman" w:cs="Times New Roman"/>
                      <w:color w:val="auto"/>
                      <w:szCs w:val="21"/>
                      <w:lang w:val="en-US" w:eastAsia="zh-CN"/>
                    </w:rPr>
                  </w:pPr>
                  <w:r>
                    <w:rPr>
                      <w:rFonts w:hint="default"/>
                      <w:color w:val="auto"/>
                      <w:lang w:val="en-US" w:eastAsia="zh-CN"/>
                    </w:rPr>
                    <w:t>1</w:t>
                  </w:r>
                </w:p>
              </w:tc>
              <w:tc>
                <w:tcPr>
                  <w:tcW w:w="3241" w:type="dxa"/>
                  <w:tcBorders>
                    <w:tl2br w:val="nil"/>
                    <w:tr2bl w:val="nil"/>
                  </w:tcBorders>
                  <w:vAlign w:val="center"/>
                </w:tcPr>
                <w:p>
                  <w:pPr>
                    <w:pStyle w:val="35"/>
                    <w:bidi w:val="0"/>
                    <w:spacing w:line="240" w:lineRule="auto"/>
                    <w:rPr>
                      <w:rFonts w:hint="default" w:ascii="Times New Roman" w:hAnsi="Times New Roman" w:cs="Times New Roman"/>
                      <w:color w:val="auto"/>
                      <w:szCs w:val="21"/>
                      <w:lang w:val="en-US" w:eastAsia="zh-CN"/>
                    </w:rPr>
                  </w:pPr>
                  <w:r>
                    <w:rPr>
                      <w:rFonts w:hint="default"/>
                      <w:color w:val="auto"/>
                    </w:rPr>
                    <w:t>建设项目环评文件中应当包含钻井液、压裂液中重金属等有毒有害物质的相关信息，涉及商业秘密、技术秘密等情形的除外。</w:t>
                  </w:r>
                </w:p>
              </w:tc>
              <w:tc>
                <w:tcPr>
                  <w:tcW w:w="3355" w:type="dxa"/>
                  <w:tcBorders>
                    <w:tl2br w:val="nil"/>
                    <w:tr2bl w:val="nil"/>
                  </w:tcBorders>
                  <w:vAlign w:val="center"/>
                </w:tcPr>
                <w:p>
                  <w:pPr>
                    <w:pStyle w:val="35"/>
                    <w:bidi w:val="0"/>
                    <w:spacing w:line="240" w:lineRule="auto"/>
                    <w:rPr>
                      <w:rFonts w:hint="default" w:ascii="Times New Roman" w:hAnsi="Times New Roman" w:eastAsia="宋体" w:cs="Times New Roman"/>
                      <w:color w:val="auto"/>
                      <w:szCs w:val="21"/>
                      <w:lang w:val="en-US" w:eastAsia="zh-CN"/>
                    </w:rPr>
                  </w:pPr>
                  <w:r>
                    <w:rPr>
                      <w:rFonts w:hint="default"/>
                      <w:color w:val="auto"/>
                      <w:lang w:val="en-US" w:eastAsia="zh-CN"/>
                    </w:rPr>
                    <w:t>本项目</w:t>
                  </w:r>
                  <w:r>
                    <w:rPr>
                      <w:rFonts w:hint="eastAsia"/>
                      <w:color w:val="auto"/>
                      <w:lang w:val="en-US" w:eastAsia="zh-CN"/>
                    </w:rPr>
                    <w:t>一开</w:t>
                  </w:r>
                  <w:r>
                    <w:rPr>
                      <w:rFonts w:hint="default"/>
                      <w:color w:val="auto"/>
                    </w:rPr>
                    <w:t>采用</w:t>
                  </w:r>
                  <w:r>
                    <w:rPr>
                      <w:rFonts w:hint="default"/>
                      <w:color w:val="auto"/>
                      <w:lang w:val="en-US" w:eastAsia="zh-CN"/>
                    </w:rPr>
                    <w:t>非磺化</w:t>
                  </w:r>
                  <w:r>
                    <w:rPr>
                      <w:rFonts w:hint="default"/>
                      <w:color w:val="auto"/>
                    </w:rPr>
                    <w:t>水基钻井液</w:t>
                  </w:r>
                  <w:r>
                    <w:rPr>
                      <w:rFonts w:hint="default"/>
                      <w:color w:val="auto"/>
                      <w:lang w:eastAsia="zh-CN"/>
                    </w:rPr>
                    <w:t>，</w:t>
                  </w:r>
                  <w:r>
                    <w:rPr>
                      <w:rFonts w:hint="eastAsia"/>
                      <w:color w:val="auto"/>
                      <w:lang w:val="en-US" w:eastAsia="zh-CN"/>
                    </w:rPr>
                    <w:t>二开、三开使用油基钻井液，</w:t>
                  </w:r>
                  <w:r>
                    <w:rPr>
                      <w:rFonts w:hint="default" w:ascii="Times New Roman" w:hAnsi="Times New Roman" w:cs="Times New Roman"/>
                      <w:color w:val="auto"/>
                      <w:sz w:val="21"/>
                      <w:szCs w:val="21"/>
                      <w:lang w:val="en-US" w:eastAsia="zh-CN"/>
                    </w:rPr>
                    <w:t>压裂液主要成分为羟丙基胍胶、氯化钾、过硫酸钠等</w:t>
                  </w:r>
                  <w:r>
                    <w:rPr>
                      <w:rFonts w:hint="eastAsia" w:cs="Times New Roman"/>
                      <w:color w:val="auto"/>
                      <w:sz w:val="21"/>
                      <w:szCs w:val="21"/>
                      <w:lang w:val="en-US" w:eastAsia="zh-CN"/>
                    </w:rPr>
                    <w:t>，钻井液及压裂液</w:t>
                  </w:r>
                  <w:r>
                    <w:rPr>
                      <w:rFonts w:hint="default" w:ascii="Times New Roman" w:hAnsi="Times New Roman" w:cs="Times New Roman"/>
                      <w:color w:val="auto"/>
                      <w:sz w:val="21"/>
                      <w:szCs w:val="21"/>
                      <w:lang w:val="en-US" w:eastAsia="zh-CN"/>
                    </w:rPr>
                    <w:t>详细成分涉及商业秘密，不宜公开，本次环评中已简单说明相关信息。</w:t>
                  </w:r>
                </w:p>
              </w:tc>
              <w:tc>
                <w:tcPr>
                  <w:tcW w:w="1034" w:type="dxa"/>
                  <w:tcBorders>
                    <w:tl2br w:val="nil"/>
                    <w:tr2bl w:val="nil"/>
                  </w:tcBorders>
                  <w:vAlign w:val="center"/>
                </w:tcPr>
                <w:p>
                  <w:pPr>
                    <w:pStyle w:val="35"/>
                    <w:bidi w:val="0"/>
                    <w:spacing w:line="240" w:lineRule="auto"/>
                    <w:rPr>
                      <w:rFonts w:hint="default" w:ascii="Times New Roman" w:hAnsi="Times New Roman" w:cs="Times New Roman"/>
                      <w:color w:val="auto"/>
                      <w:szCs w:val="21"/>
                      <w:lang w:val="en-US" w:eastAsia="zh-CN"/>
                    </w:rPr>
                  </w:pPr>
                  <w:r>
                    <w:rPr>
                      <w:rFonts w:hint="default"/>
                      <w:color w:val="auto"/>
                      <w:lang w:val="en-US" w:eastAsia="zh-CN"/>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c>
                <w:tcPr>
                  <w:tcW w:w="749" w:type="dxa"/>
                  <w:tcBorders>
                    <w:tl2br w:val="nil"/>
                    <w:tr2bl w:val="nil"/>
                  </w:tcBorders>
                  <w:vAlign w:val="center"/>
                </w:tcPr>
                <w:p>
                  <w:pPr>
                    <w:pStyle w:val="35"/>
                    <w:bidi w:val="0"/>
                    <w:spacing w:line="240" w:lineRule="auto"/>
                    <w:rPr>
                      <w:rFonts w:hint="default" w:ascii="Times New Roman" w:hAnsi="Times New Roman" w:cs="Times New Roman"/>
                      <w:color w:val="auto"/>
                      <w:szCs w:val="21"/>
                      <w:lang w:val="en-US" w:eastAsia="zh-CN"/>
                    </w:rPr>
                  </w:pPr>
                  <w:r>
                    <w:rPr>
                      <w:rFonts w:hint="default"/>
                      <w:color w:val="auto"/>
                      <w:lang w:val="en-US" w:eastAsia="zh-CN"/>
                    </w:rPr>
                    <w:t>2</w:t>
                  </w:r>
                </w:p>
              </w:tc>
              <w:tc>
                <w:tcPr>
                  <w:tcW w:w="3241" w:type="dxa"/>
                  <w:tcBorders>
                    <w:tl2br w:val="nil"/>
                    <w:tr2bl w:val="nil"/>
                  </w:tcBorders>
                  <w:vAlign w:val="center"/>
                </w:tcPr>
                <w:p>
                  <w:pPr>
                    <w:pStyle w:val="35"/>
                    <w:bidi w:val="0"/>
                    <w:spacing w:line="240" w:lineRule="auto"/>
                    <w:rPr>
                      <w:rFonts w:hint="default" w:ascii="Times New Roman" w:hAnsi="Times New Roman" w:cs="Times New Roman"/>
                      <w:color w:val="auto"/>
                      <w:szCs w:val="21"/>
                      <w:lang w:val="en-US" w:eastAsia="zh-CN"/>
                    </w:rPr>
                  </w:pPr>
                  <w:r>
                    <w:rPr>
                      <w:rFonts w:hint="default"/>
                      <w:color w:val="auto"/>
                    </w:rPr>
                    <w:t>油气开采产生的废弃油基泥浆、含油钻屑及其他固体废物，应遵循减量化、资源化、无害化原则，按照国家和地方有关固体废物的管理规定进行处置。油气开采项目产生的危险废物，应按照《建设项目危险废物环境影响评价指南》要求评价</w:t>
                  </w:r>
                </w:p>
              </w:tc>
              <w:tc>
                <w:tcPr>
                  <w:tcW w:w="3355" w:type="dxa"/>
                  <w:tcBorders>
                    <w:tl2br w:val="nil"/>
                    <w:tr2bl w:val="nil"/>
                  </w:tcBorders>
                  <w:vAlign w:val="center"/>
                </w:tcPr>
                <w:p>
                  <w:pPr>
                    <w:pStyle w:val="35"/>
                    <w:bidi w:val="0"/>
                    <w:spacing w:line="240" w:lineRule="auto"/>
                    <w:rPr>
                      <w:rFonts w:hint="default" w:ascii="Times New Roman" w:hAnsi="Times New Roman" w:eastAsia="宋体" w:cs="Times New Roman"/>
                      <w:color w:val="auto"/>
                      <w:szCs w:val="21"/>
                      <w:lang w:val="en-US" w:eastAsia="zh-CN"/>
                    </w:rPr>
                  </w:pPr>
                  <w:r>
                    <w:rPr>
                      <w:rFonts w:hint="default"/>
                      <w:color w:val="auto"/>
                      <w:lang w:val="en-US" w:eastAsia="zh-CN"/>
                    </w:rPr>
                    <w:t>本项目</w:t>
                  </w:r>
                  <w:r>
                    <w:rPr>
                      <w:rFonts w:hint="eastAsia"/>
                      <w:color w:val="auto"/>
                      <w:lang w:val="en-US" w:eastAsia="zh-CN"/>
                    </w:rPr>
                    <w:t>一开</w:t>
                  </w:r>
                  <w:r>
                    <w:rPr>
                      <w:rFonts w:hint="default"/>
                      <w:color w:val="auto"/>
                      <w:lang w:val="en-US" w:eastAsia="zh-CN"/>
                    </w:rPr>
                    <w:t>采用水基钻井液</w:t>
                  </w:r>
                  <w:r>
                    <w:rPr>
                      <w:rFonts w:hint="eastAsia"/>
                      <w:color w:val="auto"/>
                      <w:lang w:val="en-US" w:eastAsia="zh-CN"/>
                    </w:rPr>
                    <w:t>，二开、三开采用</w:t>
                  </w:r>
                  <w:r>
                    <w:rPr>
                      <w:rFonts w:hint="default"/>
                      <w:color w:val="auto"/>
                      <w:lang w:val="en-US" w:eastAsia="zh-CN"/>
                    </w:rPr>
                    <w:t>油基</w:t>
                  </w:r>
                  <w:r>
                    <w:rPr>
                      <w:rFonts w:hint="eastAsia"/>
                      <w:color w:val="auto"/>
                      <w:lang w:val="en-US" w:eastAsia="zh-CN"/>
                    </w:rPr>
                    <w:t>钻井液，</w:t>
                  </w:r>
                  <w:r>
                    <w:rPr>
                      <w:rFonts w:hint="default"/>
                      <w:color w:val="auto"/>
                      <w:lang w:val="en-US" w:eastAsia="zh-CN"/>
                    </w:rPr>
                    <w:t>项目井场内设有</w:t>
                  </w:r>
                  <w:r>
                    <w:rPr>
                      <w:rFonts w:hint="default"/>
                      <w:color w:val="auto"/>
                    </w:rPr>
                    <w:t>钻井液不落地设备，</w:t>
                  </w:r>
                  <w:r>
                    <w:rPr>
                      <w:rFonts w:hint="default"/>
                      <w:color w:val="auto"/>
                      <w:lang w:val="en-US" w:eastAsia="zh-CN"/>
                    </w:rPr>
                    <w:t>钻井液循环使用，符合减量化要求；施工结束后产生的未沾油防渗材料，由施工单位集中回收利用，符合资源化原则；项目产生的</w:t>
                  </w:r>
                  <w:r>
                    <w:rPr>
                      <w:rFonts w:hint="eastAsia"/>
                      <w:color w:val="auto"/>
                      <w:lang w:val="en-US" w:eastAsia="zh-CN"/>
                    </w:rPr>
                    <w:t>水基</w:t>
                  </w:r>
                  <w:r>
                    <w:rPr>
                      <w:rFonts w:hint="default"/>
                      <w:color w:val="auto"/>
                    </w:rPr>
                    <w:t>钻井岩屑</w:t>
                  </w:r>
                  <w:r>
                    <w:rPr>
                      <w:rFonts w:hint="default"/>
                      <w:color w:val="auto"/>
                      <w:lang w:val="en-US" w:eastAsia="zh-CN"/>
                    </w:rPr>
                    <w:t>集中收集后</w:t>
                  </w:r>
                  <w:r>
                    <w:rPr>
                      <w:rFonts w:hint="default"/>
                      <w:color w:val="auto"/>
                    </w:rPr>
                    <w:t>委托第三方岩屑处置单位进行处置</w:t>
                  </w:r>
                  <w:r>
                    <w:rPr>
                      <w:rFonts w:hint="default"/>
                      <w:color w:val="auto"/>
                      <w:lang w:eastAsia="zh-CN"/>
                    </w:rPr>
                    <w:t>，</w:t>
                  </w:r>
                  <w:r>
                    <w:rPr>
                      <w:rFonts w:hint="eastAsia"/>
                      <w:color w:val="auto"/>
                      <w:lang w:val="en-US" w:eastAsia="zh-CN"/>
                    </w:rPr>
                    <w:t>油基岩屑及</w:t>
                  </w:r>
                  <w:r>
                    <w:rPr>
                      <w:rFonts w:hint="default"/>
                      <w:color w:val="auto"/>
                      <w:lang w:val="en-US" w:eastAsia="zh-CN"/>
                    </w:rPr>
                    <w:t>危险废物交</w:t>
                  </w:r>
                  <w:r>
                    <w:rPr>
                      <w:rFonts w:hint="default"/>
                      <w:color w:val="auto"/>
                    </w:rPr>
                    <w:t>具有相应危险</w:t>
                  </w:r>
                  <w:r>
                    <w:rPr>
                      <w:rFonts w:hint="default"/>
                      <w:color w:val="auto"/>
                      <w:lang w:val="en-US" w:eastAsia="zh-CN"/>
                    </w:rPr>
                    <w:t>经营许可单位</w:t>
                  </w:r>
                  <w:r>
                    <w:rPr>
                      <w:rFonts w:hint="default"/>
                      <w:color w:val="auto"/>
                    </w:rPr>
                    <w:t>处置</w:t>
                  </w:r>
                  <w:r>
                    <w:rPr>
                      <w:rFonts w:hint="default"/>
                      <w:color w:val="auto"/>
                      <w:lang w:eastAsia="zh-CN"/>
                    </w:rPr>
                    <w:t>，</w:t>
                  </w:r>
                  <w:r>
                    <w:rPr>
                      <w:rFonts w:hint="default"/>
                      <w:color w:val="auto"/>
                      <w:lang w:val="en-US" w:eastAsia="zh-CN"/>
                    </w:rPr>
                    <w:t>符合无害化原则</w:t>
                  </w:r>
                </w:p>
              </w:tc>
              <w:tc>
                <w:tcPr>
                  <w:tcW w:w="1034" w:type="dxa"/>
                  <w:tcBorders>
                    <w:tl2br w:val="nil"/>
                    <w:tr2bl w:val="nil"/>
                  </w:tcBorders>
                  <w:vAlign w:val="center"/>
                </w:tcPr>
                <w:p>
                  <w:pPr>
                    <w:pStyle w:val="35"/>
                    <w:bidi w:val="0"/>
                    <w:spacing w:line="240" w:lineRule="auto"/>
                    <w:rPr>
                      <w:rFonts w:hint="default" w:ascii="Times New Roman" w:hAnsi="Times New Roman" w:cs="Times New Roman"/>
                      <w:color w:val="auto"/>
                      <w:szCs w:val="21"/>
                      <w:lang w:val="en-US" w:eastAsia="zh-CN"/>
                    </w:rPr>
                  </w:pPr>
                  <w:r>
                    <w:rPr>
                      <w:rFonts w:hint="default"/>
                      <w:color w:val="auto"/>
                      <w:lang w:val="en-US" w:eastAsia="zh-CN"/>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c>
                <w:tcPr>
                  <w:tcW w:w="749" w:type="dxa"/>
                  <w:tcBorders>
                    <w:tl2br w:val="nil"/>
                    <w:tr2bl w:val="nil"/>
                  </w:tcBorders>
                  <w:vAlign w:val="center"/>
                </w:tcPr>
                <w:p>
                  <w:pPr>
                    <w:pStyle w:val="35"/>
                    <w:bidi w:val="0"/>
                    <w:spacing w:line="240" w:lineRule="auto"/>
                    <w:rPr>
                      <w:rFonts w:hint="default" w:ascii="Times New Roman" w:hAnsi="Times New Roman" w:cs="Times New Roman"/>
                      <w:color w:val="auto"/>
                      <w:szCs w:val="21"/>
                      <w:lang w:val="en-US" w:eastAsia="zh-CN"/>
                    </w:rPr>
                  </w:pPr>
                  <w:r>
                    <w:rPr>
                      <w:rFonts w:hint="default"/>
                      <w:color w:val="auto"/>
                      <w:lang w:val="en-US" w:eastAsia="zh-CN"/>
                    </w:rPr>
                    <w:t>3</w:t>
                  </w:r>
                </w:p>
              </w:tc>
              <w:tc>
                <w:tcPr>
                  <w:tcW w:w="3241" w:type="dxa"/>
                  <w:tcBorders>
                    <w:tl2br w:val="nil"/>
                    <w:tr2bl w:val="nil"/>
                  </w:tcBorders>
                  <w:vAlign w:val="center"/>
                </w:tcPr>
                <w:p>
                  <w:pPr>
                    <w:pStyle w:val="35"/>
                    <w:bidi w:val="0"/>
                    <w:spacing w:line="240" w:lineRule="auto"/>
                    <w:rPr>
                      <w:rFonts w:hint="default" w:ascii="Times New Roman" w:hAnsi="Times New Roman" w:cs="Times New Roman"/>
                      <w:color w:val="auto"/>
                      <w:szCs w:val="21"/>
                      <w:lang w:val="en-US" w:eastAsia="zh-CN"/>
                    </w:rPr>
                  </w:pPr>
                  <w:r>
                    <w:rPr>
                      <w:rFonts w:hint="default"/>
                      <w:color w:val="auto"/>
                    </w:rPr>
                    <w:t>施工期应当尽量减少施工占地、缩短施工时间、选择合理施工方式落实环境敏感区管控要求以及其他生态环境保护措施，降低生态环境影响。选用低噪声设备，避免噪声扰民。施工结束后，应当及时落实环评提出的生态保护措施。</w:t>
                  </w:r>
                </w:p>
              </w:tc>
              <w:tc>
                <w:tcPr>
                  <w:tcW w:w="3355" w:type="dxa"/>
                  <w:tcBorders>
                    <w:tl2br w:val="nil"/>
                    <w:tr2bl w:val="nil"/>
                  </w:tcBorders>
                  <w:vAlign w:val="center"/>
                </w:tcPr>
                <w:p>
                  <w:pPr>
                    <w:pStyle w:val="35"/>
                    <w:bidi w:val="0"/>
                    <w:spacing w:line="240" w:lineRule="auto"/>
                    <w:rPr>
                      <w:rFonts w:hint="default" w:ascii="Times New Roman" w:hAnsi="Times New Roman" w:cs="Times New Roman"/>
                      <w:color w:val="auto"/>
                      <w:szCs w:val="21"/>
                      <w:lang w:val="en-US" w:eastAsia="zh-CN"/>
                    </w:rPr>
                  </w:pPr>
                  <w:r>
                    <w:rPr>
                      <w:rFonts w:hint="default"/>
                      <w:color w:val="auto"/>
                      <w:lang w:val="en-US" w:eastAsia="zh-CN"/>
                    </w:rPr>
                    <w:t>本次环评提出施工期尽量减少占地、缩短施工时间的要求</w:t>
                  </w:r>
                  <w:r>
                    <w:rPr>
                      <w:rFonts w:hint="default"/>
                      <w:color w:val="auto"/>
                    </w:rPr>
                    <w:t>。</w:t>
                  </w:r>
                  <w:r>
                    <w:rPr>
                      <w:rFonts w:hint="default"/>
                      <w:color w:val="auto"/>
                      <w:lang w:val="en-US" w:eastAsia="zh-CN"/>
                    </w:rPr>
                    <w:t>项目不涉及生态环境敏感区。项目实施过程采用</w:t>
                  </w:r>
                  <w:r>
                    <w:rPr>
                      <w:rFonts w:hint="default"/>
                      <w:color w:val="auto"/>
                    </w:rPr>
                    <w:t>低噪声设备</w:t>
                  </w:r>
                  <w:r>
                    <w:rPr>
                      <w:rFonts w:hint="default"/>
                      <w:color w:val="auto"/>
                      <w:lang w:eastAsia="zh-CN"/>
                    </w:rPr>
                    <w:t>；</w:t>
                  </w:r>
                  <w:r>
                    <w:rPr>
                      <w:rFonts w:hint="default"/>
                      <w:color w:val="auto"/>
                      <w:lang w:val="en-US" w:eastAsia="zh-CN"/>
                    </w:rPr>
                    <w:t>项目结束后</w:t>
                  </w:r>
                  <w:r>
                    <w:rPr>
                      <w:rFonts w:hint="default"/>
                      <w:color w:val="auto"/>
                    </w:rPr>
                    <w:t>，</w:t>
                  </w:r>
                  <w:r>
                    <w:rPr>
                      <w:rFonts w:hint="default"/>
                      <w:color w:val="auto"/>
                      <w:lang w:val="en-US" w:eastAsia="zh-CN"/>
                    </w:rPr>
                    <w:t>对临时占地范围进行及时清理、平整，严格落实本次环评中提出的生态保护措施。</w:t>
                  </w:r>
                </w:p>
              </w:tc>
              <w:tc>
                <w:tcPr>
                  <w:tcW w:w="1034" w:type="dxa"/>
                  <w:tcBorders>
                    <w:tl2br w:val="nil"/>
                    <w:tr2bl w:val="nil"/>
                  </w:tcBorders>
                  <w:vAlign w:val="center"/>
                </w:tcPr>
                <w:p>
                  <w:pPr>
                    <w:pStyle w:val="35"/>
                    <w:bidi w:val="0"/>
                    <w:spacing w:line="240" w:lineRule="auto"/>
                    <w:rPr>
                      <w:rFonts w:hint="default" w:ascii="Times New Roman" w:hAnsi="Times New Roman" w:cs="Times New Roman"/>
                      <w:color w:val="auto"/>
                      <w:szCs w:val="21"/>
                      <w:lang w:val="en-US" w:eastAsia="zh-CN"/>
                    </w:rPr>
                  </w:pPr>
                  <w:r>
                    <w:rPr>
                      <w:rFonts w:hint="default"/>
                      <w:color w:val="auto"/>
                      <w:lang w:val="en-US" w:eastAsia="zh-CN"/>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c>
                <w:tcPr>
                  <w:tcW w:w="749" w:type="dxa"/>
                  <w:tcBorders>
                    <w:tl2br w:val="nil"/>
                    <w:tr2bl w:val="nil"/>
                  </w:tcBorders>
                  <w:vAlign w:val="center"/>
                </w:tcPr>
                <w:p>
                  <w:pPr>
                    <w:pStyle w:val="35"/>
                    <w:bidi w:val="0"/>
                    <w:spacing w:line="240" w:lineRule="auto"/>
                    <w:rPr>
                      <w:rFonts w:hint="default" w:ascii="Times New Roman" w:hAnsi="Times New Roman" w:cs="Times New Roman"/>
                      <w:color w:val="auto"/>
                      <w:szCs w:val="21"/>
                      <w:lang w:val="en-US" w:eastAsia="zh-CN"/>
                    </w:rPr>
                  </w:pPr>
                  <w:r>
                    <w:rPr>
                      <w:rFonts w:hint="default"/>
                      <w:color w:val="auto"/>
                      <w:lang w:val="en-US" w:eastAsia="zh-CN"/>
                    </w:rPr>
                    <w:t>4</w:t>
                  </w:r>
                </w:p>
              </w:tc>
              <w:tc>
                <w:tcPr>
                  <w:tcW w:w="3241" w:type="dxa"/>
                  <w:tcBorders>
                    <w:tl2br w:val="nil"/>
                    <w:tr2bl w:val="nil"/>
                  </w:tcBorders>
                  <w:vAlign w:val="center"/>
                </w:tcPr>
                <w:p>
                  <w:pPr>
                    <w:pStyle w:val="35"/>
                    <w:bidi w:val="0"/>
                    <w:spacing w:line="240" w:lineRule="auto"/>
                    <w:rPr>
                      <w:rFonts w:hint="default" w:ascii="Times New Roman" w:hAnsi="Times New Roman" w:cs="Times New Roman"/>
                      <w:color w:val="auto"/>
                      <w:szCs w:val="21"/>
                      <w:lang w:val="en-US" w:eastAsia="zh-CN"/>
                    </w:rPr>
                  </w:pPr>
                  <w:r>
                    <w:rPr>
                      <w:rFonts w:hint="default"/>
                      <w:color w:val="auto"/>
                    </w:rPr>
                    <w:t>油气企业应当加强风险防控，</w:t>
                  </w:r>
                  <w:bookmarkStart w:id="21" w:name="OLE_LINK30"/>
                  <w:r>
                    <w:rPr>
                      <w:rFonts w:hint="default"/>
                      <w:color w:val="auto"/>
                    </w:rPr>
                    <w:t>按规定编制突发环境事件应急预案，报所在地生态环境主管部门备案。</w:t>
                  </w:r>
                  <w:bookmarkEnd w:id="21"/>
                </w:p>
              </w:tc>
              <w:tc>
                <w:tcPr>
                  <w:tcW w:w="3355" w:type="dxa"/>
                  <w:tcBorders>
                    <w:tl2br w:val="nil"/>
                    <w:tr2bl w:val="nil"/>
                  </w:tcBorders>
                  <w:vAlign w:val="center"/>
                </w:tcPr>
                <w:p>
                  <w:pPr>
                    <w:pStyle w:val="35"/>
                    <w:bidi w:val="0"/>
                    <w:spacing w:line="240" w:lineRule="auto"/>
                    <w:rPr>
                      <w:rFonts w:hint="default" w:ascii="Times New Roman" w:hAnsi="Times New Roman" w:eastAsia="宋体" w:cs="Times New Roman"/>
                      <w:color w:val="auto"/>
                      <w:szCs w:val="21"/>
                      <w:highlight w:val="none"/>
                      <w:lang w:val="en-US" w:eastAsia="zh-CN"/>
                    </w:rPr>
                  </w:pPr>
                  <w:r>
                    <w:rPr>
                      <w:rFonts w:hint="eastAsia"/>
                      <w:color w:val="auto"/>
                      <w:highlight w:val="none"/>
                      <w:lang w:val="en-US" w:eastAsia="zh-CN"/>
                    </w:rPr>
                    <w:t>本次环评提出“</w:t>
                  </w:r>
                  <w:r>
                    <w:rPr>
                      <w:rFonts w:hint="default"/>
                      <w:color w:val="auto"/>
                      <w:highlight w:val="none"/>
                    </w:rPr>
                    <w:t>按规定编制突发环境事件应急预案，报所在地生态环境主管部门备案。</w:t>
                  </w:r>
                  <w:r>
                    <w:rPr>
                      <w:rFonts w:hint="eastAsia"/>
                      <w:color w:val="auto"/>
                      <w:highlight w:val="none"/>
                      <w:lang w:val="en-US" w:eastAsia="zh-CN"/>
                    </w:rPr>
                    <w:t>”的要求</w:t>
                  </w:r>
                </w:p>
              </w:tc>
              <w:tc>
                <w:tcPr>
                  <w:tcW w:w="1034" w:type="dxa"/>
                  <w:tcBorders>
                    <w:tl2br w:val="nil"/>
                    <w:tr2bl w:val="nil"/>
                  </w:tcBorders>
                  <w:vAlign w:val="center"/>
                </w:tcPr>
                <w:p>
                  <w:pPr>
                    <w:pStyle w:val="35"/>
                    <w:bidi w:val="0"/>
                    <w:spacing w:line="240" w:lineRule="auto"/>
                    <w:rPr>
                      <w:rFonts w:hint="default" w:ascii="Times New Roman" w:hAnsi="Times New Roman" w:cs="Times New Roman"/>
                      <w:color w:val="auto"/>
                      <w:szCs w:val="21"/>
                      <w:lang w:val="en-US" w:eastAsia="zh-CN"/>
                    </w:rPr>
                  </w:pPr>
                  <w:r>
                    <w:rPr>
                      <w:rFonts w:hint="default"/>
                      <w:color w:val="auto"/>
                      <w:lang w:val="en-US" w:eastAsia="zh-CN"/>
                    </w:rPr>
                    <w:t>符合</w:t>
                  </w:r>
                </w:p>
              </w:tc>
            </w:tr>
          </w:tbl>
          <w:p>
            <w:pPr>
              <w:pStyle w:val="54"/>
              <w:numPr>
                <w:ilvl w:val="0"/>
                <w:numId w:val="7"/>
              </w:numPr>
              <w:bidi w:val="0"/>
              <w:ind w:left="9" w:leftChars="0" w:firstLineChars="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与</w:t>
            </w:r>
            <w:r>
              <w:rPr>
                <w:rFonts w:hint="default" w:ascii="Times New Roman" w:hAnsi="Times New Roman" w:cs="Times New Roman"/>
                <w:color w:val="auto"/>
              </w:rPr>
              <w:t>《石油天然气开采业污染防治技术政策》</w:t>
            </w:r>
            <w:r>
              <w:rPr>
                <w:rFonts w:hint="default" w:ascii="Times New Roman" w:hAnsi="Times New Roman" w:cs="Times New Roman"/>
                <w:color w:val="auto"/>
                <w:lang w:val="en-US" w:eastAsia="zh-CN"/>
              </w:rPr>
              <w:t>符合性分析</w:t>
            </w:r>
          </w:p>
          <w:p>
            <w:pPr>
              <w:pStyle w:val="10"/>
              <w:bidi w:val="0"/>
              <w:rPr>
                <w:rFonts w:hint="default"/>
                <w:color w:val="auto"/>
                <w:lang w:val="en-US" w:eastAsia="zh-CN"/>
              </w:rPr>
            </w:pPr>
            <w:r>
              <w:rPr>
                <w:rFonts w:hint="default"/>
                <w:color w:val="auto"/>
                <w:lang w:val="en-US" w:eastAsia="zh-CN"/>
              </w:rPr>
              <w:t>本项目与</w:t>
            </w:r>
            <w:r>
              <w:rPr>
                <w:rFonts w:hint="default"/>
                <w:color w:val="auto"/>
              </w:rPr>
              <w:t>《石油天然气开采业污染防治技术政策》</w:t>
            </w:r>
            <w:r>
              <w:rPr>
                <w:rFonts w:hint="default"/>
                <w:color w:val="auto"/>
                <w:lang w:val="en-US" w:eastAsia="zh-CN"/>
              </w:rPr>
              <w:t>符合性分析见表1-</w:t>
            </w:r>
            <w:r>
              <w:rPr>
                <w:rFonts w:hint="eastAsia"/>
                <w:color w:val="auto"/>
                <w:lang w:val="en-US" w:eastAsia="zh-CN"/>
              </w:rPr>
              <w:t>6</w:t>
            </w:r>
            <w:r>
              <w:rPr>
                <w:rFonts w:hint="default"/>
                <w:color w:val="auto"/>
                <w:lang w:val="en-US" w:eastAsia="zh-CN"/>
              </w:rPr>
              <w:t>。</w:t>
            </w:r>
          </w:p>
          <w:p>
            <w:pPr>
              <w:pStyle w:val="10"/>
              <w:bidi w:val="0"/>
              <w:rPr>
                <w:rFonts w:hint="default"/>
                <w:color w:val="auto"/>
                <w:lang w:val="en-US" w:eastAsia="zh-CN"/>
              </w:rPr>
            </w:pPr>
          </w:p>
          <w:p>
            <w:pPr>
              <w:pStyle w:val="10"/>
              <w:bidi w:val="0"/>
              <w:rPr>
                <w:rFonts w:hint="default"/>
                <w:color w:val="auto"/>
                <w:lang w:val="en-US" w:eastAsia="zh-CN"/>
              </w:rPr>
            </w:pPr>
          </w:p>
          <w:p>
            <w:pPr>
              <w:pStyle w:val="56"/>
              <w:bidi w:val="0"/>
              <w:rPr>
                <w:rFonts w:hint="default" w:ascii="Times New Roman" w:hAnsi="Times New Roman" w:cs="Times New Roman"/>
                <w:color w:val="auto"/>
                <w:lang w:val="en-US" w:eastAsia="zh-CN"/>
              </w:rPr>
            </w:pPr>
            <w:r>
              <w:rPr>
                <w:rFonts w:hint="default" w:ascii="Times New Roman" w:hAnsi="Times New Roman" w:cs="Times New Roman"/>
                <w:color w:val="auto"/>
              </w:rPr>
              <w:t>表</w:t>
            </w:r>
            <w:r>
              <w:rPr>
                <w:rFonts w:hint="default" w:ascii="Times New Roman" w:hAnsi="Times New Roman" w:cs="Times New Roman"/>
                <w:color w:val="auto"/>
                <w:lang w:val="en-US" w:eastAsia="zh-CN"/>
              </w:rPr>
              <w:t>1-</w:t>
            </w:r>
            <w:r>
              <w:rPr>
                <w:rFonts w:hint="eastAsia" w:ascii="Times New Roman" w:hAnsi="Times New Roman" w:cs="Times New Roman"/>
                <w:color w:val="auto"/>
                <w:lang w:val="en-US" w:eastAsia="zh-CN"/>
              </w:rPr>
              <w:t>6</w:t>
            </w:r>
            <w:r>
              <w:rPr>
                <w:rFonts w:hint="default" w:ascii="Times New Roman" w:hAnsi="Times New Roman" w:cs="Times New Roman"/>
                <w:color w:val="auto"/>
                <w:lang w:val="en-US" w:eastAsia="zh-CN"/>
              </w:rPr>
              <w:t xml:space="preserve">  本项目与</w:t>
            </w:r>
            <w:r>
              <w:rPr>
                <w:rFonts w:hint="default" w:ascii="Times New Roman" w:hAnsi="Times New Roman" w:cs="Times New Roman"/>
                <w:color w:val="auto"/>
              </w:rPr>
              <w:t>《石油天然气开采业污染防治技术政策》</w:t>
            </w:r>
            <w:r>
              <w:rPr>
                <w:rFonts w:hint="default" w:ascii="Times New Roman" w:hAnsi="Times New Roman" w:cs="Times New Roman"/>
                <w:color w:val="auto"/>
                <w:lang w:val="en-US" w:eastAsia="zh-CN"/>
              </w:rPr>
              <w:t>符合性分析</w:t>
            </w:r>
          </w:p>
          <w:tbl>
            <w:tblPr>
              <w:tblStyle w:val="2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3" w:type="dxa"/>
                <w:bottom w:w="0" w:type="dxa"/>
                <w:right w:w="23" w:type="dxa"/>
              </w:tblCellMar>
            </w:tblPr>
            <w:tblGrid>
              <w:gridCol w:w="536"/>
              <w:gridCol w:w="4302"/>
              <w:gridCol w:w="2736"/>
              <w:gridCol w:w="80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c>
                <w:tcPr>
                  <w:tcW w:w="523" w:type="dxa"/>
                  <w:tcBorders>
                    <w:tl2br w:val="nil"/>
                    <w:tr2bl w:val="nil"/>
                  </w:tcBorders>
                  <w:vAlign w:val="center"/>
                </w:tcPr>
                <w:p>
                  <w:pPr>
                    <w:pStyle w:val="35"/>
                    <w:bidi w:val="0"/>
                    <w:spacing w:line="240" w:lineRule="auto"/>
                    <w:rPr>
                      <w:rFonts w:hint="default" w:ascii="Times New Roman" w:hAnsi="Times New Roman" w:cs="Times New Roman"/>
                      <w:color w:val="auto"/>
                      <w:szCs w:val="21"/>
                      <w:lang w:val="en-US" w:eastAsia="zh-CN"/>
                    </w:rPr>
                  </w:pPr>
                  <w:r>
                    <w:rPr>
                      <w:rFonts w:hint="default"/>
                      <w:color w:val="auto"/>
                      <w:lang w:val="en-US" w:eastAsia="zh-CN"/>
                    </w:rPr>
                    <w:t>序号</w:t>
                  </w:r>
                </w:p>
              </w:tc>
              <w:tc>
                <w:tcPr>
                  <w:tcW w:w="4198" w:type="dxa"/>
                  <w:tcBorders>
                    <w:tl2br w:val="nil"/>
                    <w:tr2bl w:val="nil"/>
                  </w:tcBorders>
                  <w:vAlign w:val="center"/>
                </w:tcPr>
                <w:p>
                  <w:pPr>
                    <w:pStyle w:val="35"/>
                    <w:bidi w:val="0"/>
                    <w:spacing w:line="240" w:lineRule="auto"/>
                    <w:rPr>
                      <w:rFonts w:hint="default" w:ascii="Times New Roman" w:hAnsi="Times New Roman" w:cs="Times New Roman"/>
                      <w:color w:val="auto"/>
                      <w:szCs w:val="21"/>
                      <w:lang w:val="en-US" w:eastAsia="zh-CN"/>
                    </w:rPr>
                  </w:pPr>
                  <w:r>
                    <w:rPr>
                      <w:rFonts w:hint="default"/>
                      <w:color w:val="auto"/>
                      <w:lang w:val="en-US" w:eastAsia="zh-CN"/>
                    </w:rPr>
                    <w:t>文件要求</w:t>
                  </w:r>
                </w:p>
              </w:tc>
              <w:tc>
                <w:tcPr>
                  <w:tcW w:w="2670" w:type="dxa"/>
                  <w:tcBorders>
                    <w:tl2br w:val="nil"/>
                    <w:tr2bl w:val="nil"/>
                  </w:tcBorders>
                  <w:vAlign w:val="center"/>
                </w:tcPr>
                <w:p>
                  <w:pPr>
                    <w:pStyle w:val="35"/>
                    <w:bidi w:val="0"/>
                    <w:spacing w:line="240" w:lineRule="auto"/>
                    <w:rPr>
                      <w:rFonts w:hint="default" w:ascii="Times New Roman" w:hAnsi="Times New Roman" w:cs="Times New Roman"/>
                      <w:color w:val="auto"/>
                      <w:szCs w:val="21"/>
                      <w:lang w:val="en-US" w:eastAsia="zh-CN"/>
                    </w:rPr>
                  </w:pPr>
                  <w:r>
                    <w:rPr>
                      <w:rFonts w:hint="default"/>
                      <w:color w:val="auto"/>
                      <w:lang w:val="en-US" w:eastAsia="zh-CN"/>
                    </w:rPr>
                    <w:t>本项目情况</w:t>
                  </w:r>
                </w:p>
              </w:tc>
              <w:tc>
                <w:tcPr>
                  <w:tcW w:w="786" w:type="dxa"/>
                  <w:tcBorders>
                    <w:tl2br w:val="nil"/>
                    <w:tr2bl w:val="nil"/>
                  </w:tcBorders>
                  <w:vAlign w:val="center"/>
                </w:tcPr>
                <w:p>
                  <w:pPr>
                    <w:pStyle w:val="35"/>
                    <w:bidi w:val="0"/>
                    <w:spacing w:line="240" w:lineRule="auto"/>
                    <w:rPr>
                      <w:rFonts w:hint="default" w:ascii="Times New Roman" w:hAnsi="Times New Roman" w:cs="Times New Roman"/>
                      <w:color w:val="auto"/>
                      <w:szCs w:val="21"/>
                      <w:lang w:val="en-US" w:eastAsia="zh-CN"/>
                    </w:rPr>
                  </w:pPr>
                  <w:r>
                    <w:rPr>
                      <w:rFonts w:hint="default"/>
                      <w:color w:val="auto"/>
                      <w:lang w:val="en-US" w:eastAsia="zh-CN"/>
                    </w:rPr>
                    <w:t>符合性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c>
                <w:tcPr>
                  <w:tcW w:w="523" w:type="dxa"/>
                  <w:tcBorders>
                    <w:tl2br w:val="nil"/>
                    <w:tr2bl w:val="nil"/>
                  </w:tcBorders>
                  <w:vAlign w:val="center"/>
                </w:tcPr>
                <w:p>
                  <w:pPr>
                    <w:pStyle w:val="35"/>
                    <w:bidi w:val="0"/>
                    <w:spacing w:line="240" w:lineRule="auto"/>
                    <w:rPr>
                      <w:rFonts w:hint="default" w:ascii="Times New Roman" w:hAnsi="Times New Roman" w:cs="Times New Roman"/>
                      <w:color w:val="auto"/>
                      <w:szCs w:val="21"/>
                      <w:lang w:val="en-US" w:eastAsia="zh-CN"/>
                    </w:rPr>
                  </w:pPr>
                  <w:r>
                    <w:rPr>
                      <w:rFonts w:hint="default"/>
                      <w:color w:val="auto"/>
                      <w:lang w:val="en-US" w:eastAsia="zh-CN"/>
                    </w:rPr>
                    <w:t>1</w:t>
                  </w:r>
                </w:p>
              </w:tc>
              <w:tc>
                <w:tcPr>
                  <w:tcW w:w="419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rPr>
                    <w:t>在钻井和井下作业过程中，鼓励污油、污水进入生产流程循环利用，未进入生产流程的污油、污水应采用固液分离、废水处理一体化装置等处理后达标外排。</w:t>
                  </w:r>
                </w:p>
              </w:tc>
              <w:tc>
                <w:tcPr>
                  <w:tcW w:w="2670" w:type="dxa"/>
                  <w:tcBorders>
                    <w:tl2br w:val="nil"/>
                    <w:tr2bl w:val="nil"/>
                  </w:tcBorders>
                  <w:vAlign w:val="center"/>
                </w:tcPr>
                <w:p>
                  <w:pPr>
                    <w:pStyle w:val="35"/>
                    <w:bidi w:val="0"/>
                    <w:spacing w:line="240" w:lineRule="auto"/>
                    <w:rPr>
                      <w:rFonts w:hint="default" w:ascii="Times New Roman" w:hAnsi="Times New Roman" w:eastAsia="宋体" w:cs="Times New Roman"/>
                      <w:color w:val="auto"/>
                      <w:szCs w:val="21"/>
                      <w:highlight w:val="none"/>
                      <w:lang w:val="en-US" w:eastAsia="zh-CN"/>
                    </w:rPr>
                  </w:pPr>
                  <w:r>
                    <w:rPr>
                      <w:rFonts w:hint="default"/>
                      <w:color w:val="auto"/>
                      <w:highlight w:val="none"/>
                      <w:lang w:val="en-US" w:eastAsia="zh-CN"/>
                    </w:rPr>
                    <w:t>本项目钻井液循环使用，洗井废水、压裂返排液使用罐车拉运至石西集中处理站处理，项目无废水外排。</w:t>
                  </w:r>
                </w:p>
              </w:tc>
              <w:tc>
                <w:tcPr>
                  <w:tcW w:w="786" w:type="dxa"/>
                  <w:tcBorders>
                    <w:tl2br w:val="nil"/>
                    <w:tr2bl w:val="nil"/>
                  </w:tcBorders>
                  <w:vAlign w:val="center"/>
                </w:tcPr>
                <w:p>
                  <w:pPr>
                    <w:pStyle w:val="35"/>
                    <w:bidi w:val="0"/>
                    <w:spacing w:line="240" w:lineRule="auto"/>
                    <w:rPr>
                      <w:rFonts w:hint="default" w:ascii="Times New Roman" w:hAnsi="Times New Roman" w:cs="Times New Roman"/>
                      <w:color w:val="auto"/>
                      <w:szCs w:val="21"/>
                      <w:lang w:val="en-US" w:eastAsia="zh-CN"/>
                    </w:rPr>
                  </w:pPr>
                  <w:r>
                    <w:rPr>
                      <w:rFonts w:hint="default"/>
                      <w:color w:val="auto"/>
                      <w:lang w:val="en-US" w:eastAsia="zh-CN"/>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c>
                <w:tcPr>
                  <w:tcW w:w="523" w:type="dxa"/>
                  <w:tcBorders>
                    <w:tl2br w:val="nil"/>
                    <w:tr2bl w:val="nil"/>
                  </w:tcBorders>
                  <w:vAlign w:val="center"/>
                </w:tcPr>
                <w:p>
                  <w:pPr>
                    <w:pStyle w:val="35"/>
                    <w:bidi w:val="0"/>
                    <w:spacing w:line="240" w:lineRule="auto"/>
                    <w:rPr>
                      <w:rFonts w:hint="default" w:ascii="Times New Roman" w:hAnsi="Times New Roman" w:cs="Times New Roman"/>
                      <w:color w:val="auto"/>
                      <w:szCs w:val="21"/>
                      <w:lang w:val="en-US" w:eastAsia="zh-CN"/>
                    </w:rPr>
                  </w:pPr>
                  <w:r>
                    <w:rPr>
                      <w:rFonts w:hint="default"/>
                      <w:color w:val="auto"/>
                      <w:lang w:val="en-US" w:eastAsia="zh-CN"/>
                    </w:rPr>
                    <w:t>2</w:t>
                  </w:r>
                </w:p>
              </w:tc>
              <w:tc>
                <w:tcPr>
                  <w:tcW w:w="419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rPr>
                    <w:t>油气田企业应制定环境保护管理规定，建立并运行健康、安全与环境管理体系；加强油气田建设、勘探开发过程的环境监督管理。在开发过程中，企业应加强油气井套管的检测和维护，防止油气泄漏污染地下水；建立环境保护人员培训制度；油气田企业应对勘探开发过程进行环境风险因素识别，制定突发环境事件应急预案并定期进行演练。采取环境风险防范和应急措施，防止发生由突发性油气泄漏产生的环境事故。</w:t>
                  </w:r>
                </w:p>
              </w:tc>
              <w:tc>
                <w:tcPr>
                  <w:tcW w:w="2670" w:type="dxa"/>
                  <w:tcBorders>
                    <w:tl2br w:val="nil"/>
                    <w:tr2bl w:val="nil"/>
                  </w:tcBorders>
                  <w:vAlign w:val="center"/>
                </w:tcPr>
                <w:p>
                  <w:pPr>
                    <w:pStyle w:val="67"/>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本项目执行中国石油天然气股份有限公司大港油田分公司健康、安全与环境（HSE）管理体系，对项目实施过程进行环境监督管理</w:t>
                  </w:r>
                  <w:r>
                    <w:rPr>
                      <w:rFonts w:hint="eastAsia" w:cs="Times New Roman"/>
                      <w:color w:val="auto"/>
                      <w:sz w:val="21"/>
                      <w:szCs w:val="21"/>
                      <w:highlight w:val="none"/>
                      <w:lang w:val="en-US" w:eastAsia="zh-CN"/>
                    </w:rPr>
                    <w:t>，严防油气泄漏</w:t>
                  </w:r>
                  <w:r>
                    <w:rPr>
                      <w:rFonts w:hint="default"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环评要求建设单位应</w:t>
                  </w:r>
                  <w:r>
                    <w:rPr>
                      <w:rFonts w:hint="default" w:ascii="Times New Roman" w:hAnsi="Times New Roman" w:cs="Times New Roman"/>
                      <w:color w:val="auto"/>
                      <w:sz w:val="21"/>
                      <w:szCs w:val="21"/>
                      <w:highlight w:val="none"/>
                    </w:rPr>
                    <w:t>按规定编制突发环境事件应急预案，报所在地生态环境主管部门备案</w:t>
                  </w:r>
                </w:p>
              </w:tc>
              <w:tc>
                <w:tcPr>
                  <w:tcW w:w="786" w:type="dxa"/>
                  <w:tcBorders>
                    <w:tl2br w:val="nil"/>
                    <w:tr2bl w:val="nil"/>
                  </w:tcBorders>
                  <w:vAlign w:val="center"/>
                </w:tcPr>
                <w:p>
                  <w:pPr>
                    <w:pStyle w:val="35"/>
                    <w:bidi w:val="0"/>
                    <w:spacing w:line="240" w:lineRule="auto"/>
                    <w:rPr>
                      <w:rFonts w:hint="default" w:ascii="Times New Roman" w:hAnsi="Times New Roman" w:cs="Times New Roman"/>
                      <w:color w:val="auto"/>
                      <w:szCs w:val="21"/>
                      <w:lang w:val="en-US" w:eastAsia="zh-CN"/>
                    </w:rPr>
                  </w:pPr>
                  <w:r>
                    <w:rPr>
                      <w:rFonts w:hint="default"/>
                      <w:color w:val="auto"/>
                      <w:lang w:val="en-US" w:eastAsia="zh-CN"/>
                    </w:rPr>
                    <w:t>符合</w:t>
                  </w:r>
                </w:p>
              </w:tc>
            </w:tr>
          </w:tbl>
          <w:p>
            <w:pPr>
              <w:pStyle w:val="54"/>
              <w:numPr>
                <w:ilvl w:val="0"/>
                <w:numId w:val="7"/>
              </w:numPr>
              <w:bidi w:val="0"/>
              <w:ind w:left="9" w:leftChars="0" w:firstLineChars="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与《新疆维吾尔自治区重点行业生态环境准入条件（2024年）》</w:t>
            </w:r>
            <w:bookmarkStart w:id="22" w:name="OLE_LINK13"/>
            <w:r>
              <w:rPr>
                <w:rFonts w:hint="default" w:ascii="Times New Roman" w:hAnsi="Times New Roman" w:cs="Times New Roman"/>
                <w:color w:val="auto"/>
                <w:lang w:val="en-US" w:eastAsia="zh-CN"/>
              </w:rPr>
              <w:t>符合性分析</w:t>
            </w:r>
            <w:bookmarkEnd w:id="22"/>
          </w:p>
          <w:p>
            <w:pPr>
              <w:pStyle w:val="10"/>
              <w:bidi w:val="0"/>
              <w:rPr>
                <w:rFonts w:hint="default"/>
                <w:color w:val="auto"/>
                <w:lang w:val="en-US" w:eastAsia="zh-CN"/>
              </w:rPr>
            </w:pPr>
            <w:r>
              <w:rPr>
                <w:rFonts w:hint="default"/>
                <w:color w:val="auto"/>
                <w:lang w:val="en-US" w:eastAsia="zh-CN"/>
              </w:rPr>
              <w:t>本项目与</w:t>
            </w:r>
            <w:bookmarkStart w:id="23" w:name="OLE_LINK11"/>
            <w:r>
              <w:rPr>
                <w:rFonts w:hint="default"/>
                <w:color w:val="auto"/>
              </w:rPr>
              <w:t>《新疆维吾尔自</w:t>
            </w:r>
            <w:bookmarkStart w:id="24" w:name="OLE_LINK1"/>
            <w:r>
              <w:rPr>
                <w:rFonts w:hint="default"/>
                <w:color w:val="auto"/>
              </w:rPr>
              <w:t>治区重点行业生态环境准</w:t>
            </w:r>
            <w:bookmarkEnd w:id="24"/>
            <w:r>
              <w:rPr>
                <w:rFonts w:hint="default"/>
                <w:color w:val="auto"/>
              </w:rPr>
              <w:t>入条件（2024年）》</w:t>
            </w:r>
            <w:bookmarkEnd w:id="23"/>
            <w:r>
              <w:rPr>
                <w:rFonts w:hint="default"/>
                <w:color w:val="auto"/>
                <w:lang w:val="en-US" w:eastAsia="zh-CN"/>
              </w:rPr>
              <w:t>符合性分析见表1-</w:t>
            </w:r>
            <w:r>
              <w:rPr>
                <w:rFonts w:hint="eastAsia"/>
                <w:color w:val="auto"/>
                <w:lang w:val="en-US" w:eastAsia="zh-CN"/>
              </w:rPr>
              <w:t>7</w:t>
            </w:r>
            <w:r>
              <w:rPr>
                <w:rFonts w:hint="default"/>
                <w:color w:val="auto"/>
                <w:lang w:val="en-US" w:eastAsia="zh-CN"/>
              </w:rPr>
              <w:t>。</w:t>
            </w:r>
          </w:p>
          <w:p>
            <w:pPr>
              <w:pStyle w:val="56"/>
              <w:bidi w:val="0"/>
              <w:rPr>
                <w:rFonts w:hint="default" w:ascii="Times New Roman" w:hAnsi="Times New Roman" w:cs="Times New Roman"/>
                <w:color w:val="auto"/>
                <w:spacing w:val="-11"/>
                <w:sz w:val="21"/>
                <w:lang w:val="en-US" w:eastAsia="zh-CN"/>
              </w:rPr>
            </w:pPr>
            <w:r>
              <w:rPr>
                <w:rFonts w:hint="default" w:ascii="Times New Roman" w:hAnsi="Times New Roman" w:cs="Times New Roman"/>
                <w:color w:val="auto"/>
                <w:spacing w:val="-11"/>
                <w:sz w:val="21"/>
              </w:rPr>
              <w:t>表</w:t>
            </w:r>
            <w:r>
              <w:rPr>
                <w:rFonts w:hint="default" w:ascii="Times New Roman" w:hAnsi="Times New Roman" w:cs="Times New Roman"/>
                <w:color w:val="auto"/>
                <w:spacing w:val="-11"/>
                <w:sz w:val="21"/>
                <w:lang w:val="en-US" w:eastAsia="zh-CN"/>
              </w:rPr>
              <w:t>1-</w:t>
            </w:r>
            <w:r>
              <w:rPr>
                <w:rFonts w:hint="eastAsia" w:ascii="Times New Roman" w:hAnsi="Times New Roman" w:cs="Times New Roman"/>
                <w:color w:val="auto"/>
                <w:spacing w:val="-11"/>
                <w:sz w:val="21"/>
                <w:lang w:val="en-US" w:eastAsia="zh-CN"/>
              </w:rPr>
              <w:t>7</w:t>
            </w:r>
            <w:r>
              <w:rPr>
                <w:rFonts w:hint="default" w:ascii="Times New Roman" w:hAnsi="Times New Roman" w:cs="Times New Roman"/>
                <w:color w:val="auto"/>
                <w:spacing w:val="-11"/>
                <w:sz w:val="21"/>
                <w:lang w:val="en-US" w:eastAsia="zh-CN"/>
              </w:rPr>
              <w:t xml:space="preserve">  本项目与</w:t>
            </w:r>
            <w:r>
              <w:rPr>
                <w:rFonts w:hint="default" w:ascii="Times New Roman" w:hAnsi="Times New Roman" w:cs="Times New Roman"/>
                <w:color w:val="auto"/>
                <w:spacing w:val="-11"/>
                <w:sz w:val="21"/>
              </w:rPr>
              <w:t>《新疆维吾尔自治区重点行业生态环境准入条件（2024年）》</w:t>
            </w:r>
            <w:r>
              <w:rPr>
                <w:rFonts w:hint="default" w:ascii="Times New Roman" w:hAnsi="Times New Roman" w:cs="Times New Roman"/>
                <w:color w:val="auto"/>
                <w:spacing w:val="-11"/>
                <w:sz w:val="21"/>
                <w:lang w:val="en-US" w:eastAsia="zh-CN"/>
              </w:rPr>
              <w:t>符合性分析</w:t>
            </w:r>
          </w:p>
          <w:tbl>
            <w:tblPr>
              <w:tblStyle w:val="28"/>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3" w:type="dxa"/>
                <w:bottom w:w="0" w:type="dxa"/>
                <w:right w:w="23" w:type="dxa"/>
              </w:tblCellMar>
            </w:tblPr>
            <w:tblGrid>
              <w:gridCol w:w="560"/>
              <w:gridCol w:w="4228"/>
              <w:gridCol w:w="233"/>
              <w:gridCol w:w="2527"/>
              <w:gridCol w:w="82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c>
                <w:tcPr>
                  <w:tcW w:w="334" w:type="pct"/>
                  <w:tcBorders>
                    <w:tl2br w:val="nil"/>
                    <w:tr2bl w:val="nil"/>
                  </w:tcBorders>
                  <w:vAlign w:val="center"/>
                </w:tcPr>
                <w:p>
                  <w:pPr>
                    <w:pStyle w:val="35"/>
                    <w:bidi w:val="0"/>
                    <w:rPr>
                      <w:rFonts w:hint="default" w:ascii="Times New Roman" w:hAnsi="Times New Roman" w:cs="Times New Roman"/>
                      <w:color w:val="auto"/>
                      <w:sz w:val="21"/>
                      <w:szCs w:val="21"/>
                      <w:lang w:val="en-US" w:eastAsia="zh-CN"/>
                    </w:rPr>
                  </w:pPr>
                  <w:bookmarkStart w:id="25" w:name="OLE_LINK17" w:colFirst="0" w:colLast="3"/>
                  <w:r>
                    <w:rPr>
                      <w:rFonts w:hint="default" w:ascii="Times New Roman" w:hAnsi="Times New Roman" w:cs="Times New Roman"/>
                      <w:color w:val="auto"/>
                      <w:sz w:val="21"/>
                      <w:szCs w:val="21"/>
                      <w:lang w:val="en-US" w:eastAsia="zh-CN"/>
                    </w:rPr>
                    <w:t>序号</w:t>
                  </w:r>
                </w:p>
              </w:tc>
              <w:tc>
                <w:tcPr>
                  <w:tcW w:w="2662" w:type="pct"/>
                  <w:gridSpan w:val="2"/>
                  <w:tcBorders>
                    <w:tl2br w:val="nil"/>
                    <w:tr2bl w:val="nil"/>
                  </w:tcBorders>
                  <w:vAlign w:val="center"/>
                </w:tcPr>
                <w:p>
                  <w:pPr>
                    <w:pStyle w:val="35"/>
                    <w:bidi w:val="0"/>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文件要求</w:t>
                  </w:r>
                </w:p>
              </w:tc>
              <w:tc>
                <w:tcPr>
                  <w:tcW w:w="1508" w:type="pct"/>
                  <w:tcBorders>
                    <w:tl2br w:val="nil"/>
                    <w:tr2bl w:val="nil"/>
                  </w:tcBorders>
                  <w:vAlign w:val="center"/>
                </w:tcPr>
                <w:p>
                  <w:pPr>
                    <w:pStyle w:val="35"/>
                    <w:bidi w:val="0"/>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本项目情况</w:t>
                  </w:r>
                </w:p>
              </w:tc>
              <w:tc>
                <w:tcPr>
                  <w:tcW w:w="494" w:type="pct"/>
                  <w:tcBorders>
                    <w:tl2br w:val="nil"/>
                    <w:tr2bl w:val="nil"/>
                  </w:tcBorders>
                  <w:vAlign w:val="center"/>
                </w:tcPr>
                <w:p>
                  <w:pPr>
                    <w:pStyle w:val="35"/>
                    <w:bidi w:val="0"/>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符合性</w:t>
                  </w:r>
                </w:p>
              </w:tc>
            </w:tr>
            <w:bookmarkEnd w:id="25"/>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c>
                <w:tcPr>
                  <w:tcW w:w="334" w:type="pct"/>
                  <w:tcBorders>
                    <w:tl2br w:val="nil"/>
                    <w:tr2bl w:val="nil"/>
                  </w:tcBorders>
                  <w:vAlign w:val="center"/>
                </w:tcPr>
                <w:p>
                  <w:pPr>
                    <w:pStyle w:val="35"/>
                    <w:bidi w:val="0"/>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2662" w:type="pct"/>
                  <w:gridSpan w:val="2"/>
                  <w:tcBorders>
                    <w:tl2br w:val="nil"/>
                    <w:tr2bl w:val="nil"/>
                  </w:tcBorders>
                  <w:vAlign w:val="center"/>
                </w:tcPr>
                <w:p>
                  <w:pPr>
                    <w:pStyle w:val="35"/>
                    <w:bidi w:val="0"/>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施工期应当尽量减少施工占地、严格控制施工作业面积、缩短施工时间、选择合理施工方式、落实环境敏感区管控要求以及其他生态环境保护措施，有效降低生态环境影响。</w:t>
                  </w:r>
                </w:p>
              </w:tc>
              <w:tc>
                <w:tcPr>
                  <w:tcW w:w="1508" w:type="pct"/>
                  <w:tcBorders>
                    <w:tl2br w:val="nil"/>
                    <w:tr2bl w:val="nil"/>
                  </w:tcBorders>
                  <w:vAlign w:val="center"/>
                </w:tcPr>
                <w:p>
                  <w:pPr>
                    <w:pStyle w:val="35"/>
                    <w:bidi w:val="0"/>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本次环评提出了“施工期应当尽量减少施工占地、严格控制施工作业面积、缩短施工时间、选择合理施工方式、落实生态环境保护措施”的相关要求。</w:t>
                  </w:r>
                </w:p>
              </w:tc>
              <w:tc>
                <w:tcPr>
                  <w:tcW w:w="494" w:type="pct"/>
                  <w:tcBorders>
                    <w:tl2br w:val="nil"/>
                    <w:tr2bl w:val="nil"/>
                  </w:tcBorders>
                  <w:vAlign w:val="center"/>
                </w:tcPr>
                <w:p>
                  <w:pPr>
                    <w:pStyle w:val="35"/>
                    <w:bidi w:val="0"/>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c>
                <w:tcPr>
                  <w:tcW w:w="334" w:type="pct"/>
                  <w:tcBorders>
                    <w:tl2br w:val="nil"/>
                    <w:tr2bl w:val="nil"/>
                  </w:tcBorders>
                  <w:vAlign w:val="center"/>
                </w:tcPr>
                <w:p>
                  <w:pPr>
                    <w:pStyle w:val="35"/>
                    <w:bidi w:val="0"/>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2</w:t>
                  </w:r>
                </w:p>
              </w:tc>
              <w:tc>
                <w:tcPr>
                  <w:tcW w:w="2662" w:type="pct"/>
                  <w:gridSpan w:val="2"/>
                  <w:tcBorders>
                    <w:tl2br w:val="nil"/>
                    <w:tr2bl w:val="nil"/>
                  </w:tcBorders>
                  <w:vAlign w:val="center"/>
                </w:tcPr>
                <w:p>
                  <w:pPr>
                    <w:pStyle w:val="35"/>
                    <w:bidi w:val="0"/>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油气开发产生的伴生气应优先回收利用，减少温室气体排放，开发区块伴生气整体回收利用率应达到80%以上；边远井、零散井等产生的伴生气不能回收或难以回收的，应经燃烧后放空。鼓励油气企业将碳捕集、利用与封存（CCUS）技术用于油气开采，提高采收率、减少温室气体排放。</w:t>
                  </w:r>
                </w:p>
              </w:tc>
              <w:tc>
                <w:tcPr>
                  <w:tcW w:w="1508" w:type="pct"/>
                  <w:tcBorders>
                    <w:tl2br w:val="nil"/>
                    <w:tr2bl w:val="nil"/>
                  </w:tcBorders>
                  <w:vAlign w:val="center"/>
                </w:tcPr>
                <w:p>
                  <w:pPr>
                    <w:pStyle w:val="35"/>
                    <w:bidi w:val="0"/>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项目伴生气不具备回收利用条件，通过放喷管线燃烧后放空</w:t>
                  </w:r>
                </w:p>
              </w:tc>
              <w:tc>
                <w:tcPr>
                  <w:tcW w:w="494" w:type="pct"/>
                  <w:tcBorders>
                    <w:tl2br w:val="nil"/>
                    <w:tr2bl w:val="nil"/>
                  </w:tcBorders>
                  <w:vAlign w:val="center"/>
                </w:tcPr>
                <w:p>
                  <w:pPr>
                    <w:pStyle w:val="35"/>
                    <w:bidi w:val="0"/>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2132" w:hRule="atLeast"/>
              </w:trPr>
              <w:tc>
                <w:tcPr>
                  <w:tcW w:w="334" w:type="pct"/>
                  <w:tcBorders>
                    <w:tl2br w:val="nil"/>
                    <w:tr2bl w:val="nil"/>
                  </w:tcBorders>
                  <w:vAlign w:val="center"/>
                </w:tcPr>
                <w:p>
                  <w:pPr>
                    <w:pStyle w:val="35"/>
                    <w:bidi w:val="0"/>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3</w:t>
                  </w:r>
                </w:p>
              </w:tc>
              <w:tc>
                <w:tcPr>
                  <w:tcW w:w="2662" w:type="pct"/>
                  <w:gridSpan w:val="2"/>
                  <w:tcBorders>
                    <w:tl2br w:val="nil"/>
                    <w:tr2bl w:val="nil"/>
                  </w:tcBorders>
                  <w:vAlign w:val="center"/>
                </w:tcPr>
                <w:p>
                  <w:pPr>
                    <w:pStyle w:val="35"/>
                    <w:bidi w:val="0"/>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陆地油气开发项目产生的废水应经处理后优先回用，无法回用的应满足国家和地方相关污染物排放标准后排放，工业废水回用率应达到90%以上。钻井及储层改造应采用环境友好的油田化学助剂、酸化液、压裂液、钻井液，配备完善的固控设备，钻井液循环率应达到95%以上，压裂废液、酸化废液等井下作业废水应100%返排入罐。</w:t>
                  </w:r>
                </w:p>
              </w:tc>
              <w:tc>
                <w:tcPr>
                  <w:tcW w:w="1508" w:type="pct"/>
                  <w:tcBorders>
                    <w:tl2br w:val="nil"/>
                    <w:tr2bl w:val="nil"/>
                  </w:tcBorders>
                  <w:vAlign w:val="center"/>
                </w:tcPr>
                <w:p>
                  <w:pPr>
                    <w:pStyle w:val="35"/>
                    <w:bidi w:val="0"/>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项目采用环境友好的压裂液、配备完善的固控设备，压裂废液等井下作业废水100%入罐</w:t>
                  </w:r>
                </w:p>
              </w:tc>
              <w:tc>
                <w:tcPr>
                  <w:tcW w:w="494" w:type="pct"/>
                  <w:tcBorders>
                    <w:tl2br w:val="nil"/>
                    <w:tr2bl w:val="nil"/>
                  </w:tcBorders>
                  <w:vAlign w:val="center"/>
                </w:tcPr>
                <w:p>
                  <w:pPr>
                    <w:pStyle w:val="35"/>
                    <w:bidi w:val="0"/>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c>
                <w:tcPr>
                  <w:tcW w:w="334" w:type="pct"/>
                  <w:tcBorders>
                    <w:tl2br w:val="nil"/>
                    <w:tr2bl w:val="nil"/>
                  </w:tcBorders>
                  <w:vAlign w:val="center"/>
                </w:tcPr>
                <w:p>
                  <w:pPr>
                    <w:pStyle w:val="35"/>
                    <w:bidi w:val="0"/>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4</w:t>
                  </w:r>
                </w:p>
              </w:tc>
              <w:tc>
                <w:tcPr>
                  <w:tcW w:w="2523" w:type="pct"/>
                  <w:tcBorders>
                    <w:tl2br w:val="nil"/>
                    <w:tr2bl w:val="nil"/>
                  </w:tcBorders>
                  <w:vAlign w:val="center"/>
                </w:tcPr>
                <w:p>
                  <w:pPr>
                    <w:pStyle w:val="35"/>
                    <w:bidi w:val="0"/>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废弃钻井泥浆及岩屑应采取“泥浆不落地”工艺，勘探、开发过程产生的落地原油回收率应达到100%。废弃水基钻井泥浆及岩屑经“泥浆不落地”设备处理后，固相优先综合利用，暂时不利用或者不能利用的，应按照《一般工业固体废物贮存和填埋污染控制标准》（GB18599）处置；废弃油基钻井泥浆及岩屑、落地油、清罐底泥、含油污泥、含油清管废渣、油气处理厂过滤吸附介质、废脱汞剂等危险废物，应按照国家有关规定制定危险废物管理计划，建立危险废物管理台账，依法依规自行处置或委托有相应资质的单位无害化处置。固体废物无害化处置率应达到100%。</w:t>
                  </w:r>
                </w:p>
              </w:tc>
              <w:tc>
                <w:tcPr>
                  <w:tcW w:w="1647" w:type="pct"/>
                  <w:gridSpan w:val="2"/>
                  <w:tcBorders>
                    <w:tl2br w:val="nil"/>
                    <w:tr2bl w:val="nil"/>
                  </w:tcBorders>
                  <w:vAlign w:val="center"/>
                </w:tcPr>
                <w:p>
                  <w:pPr>
                    <w:pStyle w:val="35"/>
                    <w:bidi w:val="0"/>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项目钻井泥浆和岩屑采用“泥浆不落地”工艺，如有落地原油产生，100%回收。废弃水基钻井泥浆及岩屑经“泥浆不落地”设备处理后，固相</w:t>
                  </w:r>
                  <w:r>
                    <w:rPr>
                      <w:rFonts w:hint="eastAsia" w:ascii="Times New Roman" w:hAnsi="Times New Roman" w:cs="Times New Roman"/>
                      <w:color w:val="auto"/>
                      <w:sz w:val="21"/>
                      <w:szCs w:val="21"/>
                      <w:lang w:val="en-US" w:eastAsia="zh-CN"/>
                    </w:rPr>
                    <w:t>委托水基岩屑处置单位清运、</w:t>
                  </w:r>
                  <w:r>
                    <w:rPr>
                      <w:rFonts w:hint="default" w:ascii="Times New Roman" w:hAnsi="Times New Roman" w:cs="Times New Roman"/>
                      <w:color w:val="auto"/>
                      <w:sz w:val="21"/>
                      <w:szCs w:val="21"/>
                      <w:lang w:val="en-US" w:eastAsia="zh-CN"/>
                    </w:rPr>
                    <w:t>处置；废弃油基钻井泥浆经“泥浆不落地”设备处理后，固相</w:t>
                  </w:r>
                  <w:r>
                    <w:rPr>
                      <w:rFonts w:hint="eastAsia" w:ascii="Times New Roman" w:hAnsi="Times New Roman" w:cs="Times New Roman"/>
                      <w:color w:val="auto"/>
                      <w:sz w:val="21"/>
                      <w:szCs w:val="21"/>
                      <w:lang w:val="en-US" w:eastAsia="zh-CN"/>
                    </w:rPr>
                    <w:t>委托</w:t>
                  </w:r>
                  <w:r>
                    <w:rPr>
                      <w:rFonts w:hint="default" w:ascii="Times New Roman" w:hAnsi="Times New Roman" w:cs="Times New Roman"/>
                      <w:color w:val="auto"/>
                      <w:sz w:val="21"/>
                      <w:szCs w:val="21"/>
                      <w:lang w:val="en-US" w:eastAsia="zh-CN"/>
                    </w:rPr>
                    <w:t>有相应</w:t>
                  </w:r>
                  <w:r>
                    <w:rPr>
                      <w:rFonts w:hint="eastAsia" w:cs="Times New Roman"/>
                      <w:color w:val="auto"/>
                      <w:sz w:val="21"/>
                      <w:szCs w:val="21"/>
                      <w:lang w:val="en-US" w:eastAsia="zh-CN"/>
                    </w:rPr>
                    <w:t>危废</w:t>
                  </w:r>
                  <w:r>
                    <w:rPr>
                      <w:rFonts w:hint="default" w:ascii="Times New Roman" w:hAnsi="Times New Roman" w:cs="Times New Roman"/>
                      <w:color w:val="auto"/>
                      <w:sz w:val="21"/>
                      <w:szCs w:val="21"/>
                      <w:lang w:val="en-US" w:eastAsia="zh-CN"/>
                    </w:rPr>
                    <w:t>资质单位无害化处置。</w:t>
                  </w:r>
                  <w:r>
                    <w:rPr>
                      <w:rFonts w:hint="eastAsia" w:cs="Times New Roman"/>
                      <w:color w:val="auto"/>
                      <w:sz w:val="21"/>
                      <w:szCs w:val="21"/>
                      <w:lang w:val="en-US" w:eastAsia="zh-CN"/>
                    </w:rPr>
                    <w:t>废润滑油、废润滑油桶和沾油废防渗膜等</w:t>
                  </w:r>
                  <w:r>
                    <w:rPr>
                      <w:rFonts w:hint="default" w:ascii="Times New Roman" w:hAnsi="Times New Roman" w:cs="Times New Roman"/>
                      <w:color w:val="auto"/>
                      <w:sz w:val="21"/>
                      <w:szCs w:val="21"/>
                      <w:lang w:val="en-US" w:eastAsia="zh-CN"/>
                    </w:rPr>
                    <w:t>危险废物</w:t>
                  </w:r>
                  <w:r>
                    <w:rPr>
                      <w:rFonts w:hint="eastAsia" w:ascii="Times New Roman" w:hAnsi="Times New Roman" w:cs="Times New Roman"/>
                      <w:color w:val="auto"/>
                      <w:sz w:val="21"/>
                      <w:szCs w:val="21"/>
                      <w:lang w:val="en-US" w:eastAsia="zh-CN"/>
                    </w:rPr>
                    <w:t>均委托</w:t>
                  </w:r>
                  <w:r>
                    <w:rPr>
                      <w:rFonts w:hint="default" w:ascii="Times New Roman" w:hAnsi="Times New Roman" w:cs="Times New Roman"/>
                      <w:color w:val="auto"/>
                      <w:sz w:val="21"/>
                      <w:szCs w:val="21"/>
                      <w:lang w:val="en-US" w:eastAsia="zh-CN"/>
                    </w:rPr>
                    <w:t>有相应</w:t>
                  </w:r>
                  <w:r>
                    <w:rPr>
                      <w:rFonts w:hint="eastAsia" w:cs="Times New Roman"/>
                      <w:color w:val="auto"/>
                      <w:sz w:val="21"/>
                      <w:szCs w:val="21"/>
                      <w:lang w:val="en-US" w:eastAsia="zh-CN"/>
                    </w:rPr>
                    <w:t>危废</w:t>
                  </w:r>
                  <w:r>
                    <w:rPr>
                      <w:rFonts w:hint="default" w:ascii="Times New Roman" w:hAnsi="Times New Roman" w:cs="Times New Roman"/>
                      <w:color w:val="auto"/>
                      <w:sz w:val="21"/>
                      <w:szCs w:val="21"/>
                      <w:lang w:val="en-US" w:eastAsia="zh-CN"/>
                    </w:rPr>
                    <w:t>资质单位</w:t>
                  </w:r>
                  <w:r>
                    <w:rPr>
                      <w:rFonts w:hint="eastAsia" w:cs="Times New Roman"/>
                      <w:color w:val="auto"/>
                      <w:sz w:val="21"/>
                      <w:szCs w:val="21"/>
                      <w:lang w:val="en-US" w:eastAsia="zh-CN"/>
                    </w:rPr>
                    <w:t>清运、处置</w:t>
                  </w:r>
                  <w:r>
                    <w:rPr>
                      <w:rFonts w:hint="default" w:ascii="Times New Roman" w:hAnsi="Times New Roman" w:cs="Times New Roman"/>
                      <w:color w:val="auto"/>
                      <w:sz w:val="21"/>
                      <w:szCs w:val="21"/>
                      <w:lang w:val="en-US" w:eastAsia="zh-CN"/>
                    </w:rPr>
                    <w:t>，</w:t>
                  </w:r>
                  <w:r>
                    <w:rPr>
                      <w:rFonts w:hint="eastAsia" w:ascii="Times New Roman" w:hAnsi="Times New Roman" w:cs="Times New Roman"/>
                      <w:color w:val="auto"/>
                      <w:sz w:val="21"/>
                      <w:szCs w:val="21"/>
                      <w:lang w:val="en-US" w:eastAsia="zh-CN"/>
                    </w:rPr>
                    <w:t>本次环评要求</w:t>
                  </w:r>
                  <w:r>
                    <w:rPr>
                      <w:rFonts w:hint="default" w:ascii="Times New Roman" w:hAnsi="Times New Roman" w:cs="Times New Roman"/>
                      <w:color w:val="auto"/>
                      <w:sz w:val="21"/>
                      <w:szCs w:val="21"/>
                      <w:lang w:val="en-US" w:eastAsia="zh-CN"/>
                    </w:rPr>
                    <w:t>建立危险废物管理台账，委托固体废物无害化处置率100</w:t>
                  </w:r>
                </w:p>
              </w:tc>
              <w:tc>
                <w:tcPr>
                  <w:tcW w:w="494" w:type="pct"/>
                  <w:tcBorders>
                    <w:tl2br w:val="nil"/>
                    <w:tr2bl w:val="nil"/>
                  </w:tcBorders>
                  <w:vAlign w:val="center"/>
                </w:tcPr>
                <w:p>
                  <w:pPr>
                    <w:pStyle w:val="35"/>
                    <w:bidi w:val="0"/>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c>
                <w:tcPr>
                  <w:tcW w:w="334" w:type="pct"/>
                  <w:tcBorders>
                    <w:tl2br w:val="nil"/>
                    <w:tr2bl w:val="nil"/>
                  </w:tcBorders>
                  <w:vAlign w:val="center"/>
                </w:tcPr>
                <w:p>
                  <w:pPr>
                    <w:pStyle w:val="35"/>
                    <w:bidi w:val="0"/>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5</w:t>
                  </w:r>
                </w:p>
              </w:tc>
              <w:tc>
                <w:tcPr>
                  <w:tcW w:w="2523" w:type="pct"/>
                  <w:tcBorders>
                    <w:tl2br w:val="nil"/>
                    <w:tr2bl w:val="nil"/>
                  </w:tcBorders>
                  <w:vAlign w:val="center"/>
                </w:tcPr>
                <w:p>
                  <w:pPr>
                    <w:pStyle w:val="35"/>
                    <w:bidi w:val="0"/>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对拟退役的废弃井（站）场、管道、道路等工程设施应进行生态修复，生态修复前应对废弃油（气）井、管道进行封堵或设施拆除，确保无土壤及地下水环境污染遗留问题、废弃物得到妥善处置。生态修复应满足《矿山生态环境保护与恢复治理技术规范（试行）》（HJ651）、《废弃井封井回填技术指南（试行）》、《废弃井及长停井处置指南》（SY/T6646）、《陆上石油天然气开采业绿色矿山建设规范》（DZ/T0317）等相关要求。</w:t>
                  </w:r>
                </w:p>
              </w:tc>
              <w:tc>
                <w:tcPr>
                  <w:tcW w:w="1647" w:type="pct"/>
                  <w:gridSpan w:val="2"/>
                  <w:tcBorders>
                    <w:tl2br w:val="nil"/>
                    <w:tr2bl w:val="nil"/>
                  </w:tcBorders>
                  <w:vAlign w:val="center"/>
                </w:tcPr>
                <w:p>
                  <w:pPr>
                    <w:pStyle w:val="35"/>
                    <w:bidi w:val="0"/>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如项目不具备开发利用价值，应进行封井，本次环评提出了生态修复要求</w:t>
                  </w:r>
                </w:p>
              </w:tc>
              <w:tc>
                <w:tcPr>
                  <w:tcW w:w="494" w:type="pct"/>
                  <w:tcBorders>
                    <w:tl2br w:val="nil"/>
                    <w:tr2bl w:val="nil"/>
                  </w:tcBorders>
                  <w:vAlign w:val="center"/>
                </w:tcPr>
                <w:p>
                  <w:pPr>
                    <w:pStyle w:val="35"/>
                    <w:bidi w:val="0"/>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符合</w:t>
                  </w:r>
                </w:p>
              </w:tc>
            </w:tr>
          </w:tbl>
          <w:p>
            <w:pPr>
              <w:pStyle w:val="54"/>
              <w:numPr>
                <w:ilvl w:val="0"/>
                <w:numId w:val="7"/>
              </w:numPr>
              <w:bidi w:val="0"/>
              <w:ind w:left="9" w:leftChars="0" w:firstLineChars="0"/>
              <w:rPr>
                <w:rFonts w:hint="default" w:ascii="Times New Roman" w:hAnsi="Times New Roman" w:cs="Times New Roman"/>
                <w:b/>
                <w:color w:val="auto"/>
                <w:sz w:val="24"/>
                <w:lang w:val="en-US" w:eastAsia="zh-CN"/>
              </w:rPr>
            </w:pPr>
            <w:r>
              <w:rPr>
                <w:rFonts w:hint="default" w:ascii="Times New Roman" w:hAnsi="Times New Roman" w:cs="Times New Roman"/>
                <w:b/>
                <w:color w:val="auto"/>
                <w:sz w:val="24"/>
                <w:lang w:val="en-US" w:eastAsia="zh-CN"/>
              </w:rPr>
              <w:t>与</w:t>
            </w:r>
            <w:r>
              <w:rPr>
                <w:rFonts w:hint="default" w:ascii="Times New Roman" w:hAnsi="Times New Roman" w:cs="Times New Roman"/>
                <w:b/>
                <w:color w:val="auto"/>
                <w:sz w:val="24"/>
              </w:rPr>
              <w:t>《新疆生态环境保护“十四五”规划》</w:t>
            </w:r>
            <w:r>
              <w:rPr>
                <w:rFonts w:hint="default" w:ascii="Times New Roman" w:hAnsi="Times New Roman" w:cs="Times New Roman"/>
                <w:b/>
                <w:color w:val="auto"/>
                <w:sz w:val="24"/>
                <w:lang w:val="en-US" w:eastAsia="zh-CN"/>
              </w:rPr>
              <w:t>符合性分析</w:t>
            </w:r>
          </w:p>
          <w:p>
            <w:pPr>
              <w:pStyle w:val="10"/>
              <w:bidi w:val="0"/>
              <w:rPr>
                <w:rFonts w:hint="default"/>
                <w:color w:val="auto"/>
                <w:lang w:val="en-US" w:eastAsia="zh-CN"/>
              </w:rPr>
            </w:pPr>
            <w:r>
              <w:rPr>
                <w:rFonts w:hint="default"/>
                <w:color w:val="auto"/>
                <w:lang w:val="en-US" w:eastAsia="zh-CN"/>
              </w:rPr>
              <w:t>《新疆生态环境保护“十四五”规划》提出“坚决遏制‘两高’项目盲目发展，严格执行能源、矿产资源开发自治区人民政府‘一支笔’审批制度、环境保护‘一票否决’制度，落实‘三线一单’生态环境分区管控要求，守住生态保护红线、环境质量底线和资源利用上线，实施生态环境准入清单管控”。</w:t>
            </w:r>
          </w:p>
          <w:p>
            <w:pPr>
              <w:pStyle w:val="10"/>
              <w:bidi w:val="0"/>
              <w:rPr>
                <w:rFonts w:hint="default"/>
                <w:color w:val="auto"/>
                <w:lang w:val="en-US" w:eastAsia="zh-CN"/>
              </w:rPr>
            </w:pPr>
            <w:r>
              <w:rPr>
                <w:rFonts w:hint="default"/>
                <w:color w:val="auto"/>
                <w:lang w:val="en-US" w:eastAsia="zh-CN"/>
              </w:rPr>
              <w:t>本项目不属于“两高”项目，符合产业准入政策及《新疆维吾尔自治区生态环境分区管控动态更新成果》（新环环评发〔2024〕157号）</w:t>
            </w:r>
            <w:r>
              <w:rPr>
                <w:rFonts w:hint="eastAsia"/>
                <w:color w:val="auto"/>
                <w:lang w:val="en-US" w:eastAsia="zh-CN"/>
              </w:rPr>
              <w:t>和</w:t>
            </w:r>
            <w:r>
              <w:rPr>
                <w:rFonts w:hint="default"/>
                <w:color w:val="auto"/>
                <w:lang w:val="en-US" w:eastAsia="zh-CN"/>
              </w:rPr>
              <w:t>《昌吉回族自治州“三线一单”生态环境分区管控方案成果动态更新》要求，</w:t>
            </w:r>
            <w:r>
              <w:rPr>
                <w:rFonts w:hint="eastAsia"/>
                <w:color w:val="auto"/>
                <w:lang w:val="en-US" w:eastAsia="zh-CN"/>
              </w:rPr>
              <w:t>因此</w:t>
            </w:r>
            <w:r>
              <w:rPr>
                <w:rFonts w:hint="default"/>
                <w:color w:val="auto"/>
                <w:lang w:val="en-US" w:eastAsia="zh-CN"/>
              </w:rPr>
              <w:t>项目符合规划要求。</w:t>
            </w:r>
          </w:p>
          <w:p>
            <w:pPr>
              <w:pStyle w:val="54"/>
              <w:bidi w:val="0"/>
              <w:spacing w:line="240" w:lineRule="auto"/>
              <w:rPr>
                <w:rFonts w:hint="eastAsia" w:ascii="Times New Roman" w:hAnsi="Times New Roman" w:eastAsia="宋体" w:cs="Times New Roman"/>
                <w:b/>
                <w:bCs/>
                <w:color w:val="auto"/>
                <w:kern w:val="2"/>
                <w:sz w:val="24"/>
                <w:szCs w:val="24"/>
                <w:highlight w:val="none"/>
                <w:lang w:val="en-US" w:eastAsia="zh-CN" w:bidi="ar-SA"/>
              </w:rPr>
            </w:pPr>
            <w:bookmarkStart w:id="26" w:name="OLE_LINK54"/>
            <w:bookmarkStart w:id="27" w:name="OLE_LINK67"/>
            <w:r>
              <w:rPr>
                <w:rFonts w:hint="eastAsia" w:ascii="Times New Roman" w:hAnsi="Times New Roman" w:eastAsia="宋体" w:cs="Times New Roman"/>
                <w:b/>
                <w:bCs/>
                <w:color w:val="auto"/>
                <w:kern w:val="2"/>
                <w:sz w:val="24"/>
                <w:szCs w:val="24"/>
                <w:highlight w:val="none"/>
                <w:lang w:val="en-US" w:eastAsia="zh-CN" w:bidi="ar-SA"/>
              </w:rPr>
              <w:t>项目与</w:t>
            </w:r>
            <w:r>
              <w:rPr>
                <w:rFonts w:hint="eastAsia" w:ascii="Times New Roman" w:hAnsi="Times New Roman" w:eastAsia="宋体" w:cs="Times New Roman"/>
                <w:b/>
                <w:bCs/>
                <w:color w:val="auto"/>
                <w:kern w:val="2"/>
                <w:sz w:val="24"/>
                <w:szCs w:val="24"/>
                <w:lang w:val="en-US" w:eastAsia="zh-CN" w:bidi="ar-SA"/>
              </w:rPr>
              <w:t>《新疆维吾尔自治区石油天然气发展“十四五”规划》符合性分析</w:t>
            </w:r>
          </w:p>
          <w:p>
            <w:pPr>
              <w:pStyle w:val="10"/>
              <w:bidi w:val="0"/>
              <w:rPr>
                <w:rFonts w:hint="eastAsia"/>
                <w:color w:val="auto"/>
                <w:lang w:val="en-US" w:eastAsia="zh-CN"/>
              </w:rPr>
            </w:pPr>
            <w:r>
              <w:rPr>
                <w:rFonts w:hint="eastAsia"/>
                <w:color w:val="auto"/>
                <w:lang w:val="en-US" w:eastAsia="zh-CN"/>
              </w:rPr>
              <w:t>《新疆维吾尔自治区石油天然气发展“十四五”规划》主要任务中提到：“加大油气勘探力度：加快推进油气资源基础地质调查和非常规油气资源勘查，明确勘探主攻方向，以准噶尔、塔里木、吐哈等盆地为重点，加强准噶尔盆地南缘、玛湖凹陷区、沙湾凹陷区、吉木萨尔凹陷，塔里木盆地顺北、碳酸盐岩等低勘探程度区域，以及页岩油气等新领域风险勘探，尽早形成新的油气资源战略接续区。”本项目位于</w:t>
            </w:r>
            <w:r>
              <w:rPr>
                <w:rFonts w:hint="default" w:ascii="Times New Roman" w:hAnsi="Times New Roman" w:eastAsia="宋体" w:cs="Times New Roman"/>
                <w:color w:val="auto"/>
                <w:kern w:val="0"/>
                <w:sz w:val="24"/>
                <w:szCs w:val="24"/>
                <w:lang w:val="en-US" w:eastAsia="zh-CN" w:bidi="ar-SA"/>
              </w:rPr>
              <w:t>准噶尔盆地</w:t>
            </w:r>
            <w:r>
              <w:rPr>
                <w:rFonts w:hint="eastAsia"/>
                <w:color w:val="auto"/>
                <w:lang w:val="en-US" w:eastAsia="zh-CN"/>
              </w:rPr>
              <w:t>，为石油勘探项目，符合《新疆维吾尔自治区石油天然气发展“十四五”规划》。</w:t>
            </w:r>
          </w:p>
          <w:bookmarkEnd w:id="26"/>
          <w:p>
            <w:pPr>
              <w:pStyle w:val="54"/>
              <w:bidi w:val="0"/>
              <w:rPr>
                <w:rFonts w:hint="eastAsia" w:ascii="Times New Roman" w:hAnsi="Times New Roman" w:eastAsia="宋体" w:cs="Times New Roman"/>
                <w:b/>
                <w:bCs/>
                <w:color w:val="auto"/>
                <w:kern w:val="2"/>
                <w:sz w:val="24"/>
                <w:szCs w:val="24"/>
                <w:highlight w:val="none"/>
                <w:lang w:val="en-US" w:eastAsia="zh-CN" w:bidi="ar-SA"/>
              </w:rPr>
            </w:pPr>
            <w:r>
              <w:rPr>
                <w:rFonts w:hint="eastAsia" w:ascii="Times New Roman" w:hAnsi="Times New Roman" w:eastAsia="宋体" w:cs="Times New Roman"/>
                <w:b/>
                <w:bCs/>
                <w:color w:val="auto"/>
                <w:kern w:val="2"/>
                <w:sz w:val="24"/>
                <w:szCs w:val="24"/>
                <w:highlight w:val="none"/>
                <w:lang w:val="en-US" w:eastAsia="zh-CN" w:bidi="ar-SA"/>
              </w:rPr>
              <w:t>与《新疆维吾尔自治区</w:t>
            </w:r>
            <w:r>
              <w:rPr>
                <w:rStyle w:val="61"/>
                <w:rFonts w:hint="eastAsia"/>
                <w:b/>
                <w:color w:val="auto"/>
                <w:lang w:val="en-US" w:eastAsia="zh-CN"/>
              </w:rPr>
              <w:t>环境保护条例（2018年修正）》符合</w:t>
            </w:r>
            <w:r>
              <w:rPr>
                <w:rFonts w:hint="eastAsia" w:ascii="Times New Roman" w:hAnsi="Times New Roman" w:eastAsia="宋体" w:cs="Times New Roman"/>
                <w:b/>
                <w:bCs/>
                <w:color w:val="auto"/>
                <w:kern w:val="2"/>
                <w:sz w:val="24"/>
                <w:szCs w:val="24"/>
                <w:highlight w:val="none"/>
                <w:lang w:val="en-US" w:eastAsia="zh-CN" w:bidi="ar-SA"/>
              </w:rPr>
              <w:t>性分析</w:t>
            </w:r>
          </w:p>
          <w:p>
            <w:pPr>
              <w:keepNext w:val="0"/>
              <w:keepLines w:val="0"/>
              <w:pageBreakBefore w:val="0"/>
              <w:kinsoku/>
              <w:wordWrap w:val="0"/>
              <w:overflowPunct/>
              <w:topLinePunct/>
              <w:autoSpaceDE w:val="0"/>
              <w:autoSpaceDN w:val="0"/>
              <w:bidi w:val="0"/>
              <w:adjustRightInd/>
              <w:snapToGrid w:val="0"/>
              <w:spacing w:line="500" w:lineRule="exact"/>
              <w:ind w:firstLine="480" w:firstLineChars="200"/>
              <w:textAlignment w:val="center"/>
              <w:rPr>
                <w:rFonts w:hint="default" w:ascii="Times New Roman" w:hAnsi="Times New Roman" w:eastAsia="宋体" w:cs="Times New Roman"/>
                <w:bCs/>
                <w:color w:val="auto"/>
                <w:highlight w:val="none"/>
                <w:lang w:val="en-US" w:eastAsia="zh-CN"/>
              </w:rPr>
            </w:pPr>
            <w:r>
              <w:rPr>
                <w:rFonts w:hint="default" w:ascii="Times New Roman" w:hAnsi="Times New Roman" w:eastAsia="宋体" w:cs="Times New Roman"/>
                <w:bCs/>
                <w:color w:val="auto"/>
                <w:highlight w:val="none"/>
                <w:lang w:val="en-US" w:eastAsia="zh-CN"/>
              </w:rPr>
              <w:t>项目不使用煤炭和其他高污染燃料，伴生气燃烧后放空，可减少对大气环境的影响；项目产生的废水全部拉运至集中处理站处理不外排；固体废物中，水基钻井岩屑分别委托具有相应经营许可单位清运处置，可得到无害化处置。项目采取了生态影响避让、减缓、修复和补偿措施，施工结束后对土地进行清理平整以利于植被恢复。综上，项目建设符合《新疆维吾尔自治区环境保护条例（2018修正）》相关要求。</w:t>
            </w:r>
          </w:p>
          <w:p>
            <w:pPr>
              <w:pStyle w:val="54"/>
              <w:bidi w:val="0"/>
              <w:rPr>
                <w:rFonts w:hint="eastAsia"/>
                <w:color w:val="auto"/>
                <w:lang w:val="en-US" w:eastAsia="zh-CN"/>
              </w:rPr>
            </w:pPr>
            <w:r>
              <w:rPr>
                <w:rFonts w:hint="eastAsia"/>
                <w:color w:val="auto"/>
                <w:lang w:val="en-US" w:eastAsia="zh-CN"/>
              </w:rPr>
              <w:t>与《新疆维吾尔自治区大气污染防治条例》</w:t>
            </w:r>
            <w:r>
              <w:rPr>
                <w:rFonts w:hint="eastAsia" w:ascii="Times New Roman" w:hAnsi="Times New Roman" w:eastAsia="宋体" w:cs="Times New Roman"/>
                <w:b/>
                <w:bCs/>
                <w:color w:val="auto"/>
                <w:kern w:val="2"/>
                <w:sz w:val="24"/>
                <w:szCs w:val="24"/>
                <w:highlight w:val="none"/>
                <w:lang w:val="en-US" w:eastAsia="zh-CN" w:bidi="ar-SA"/>
              </w:rPr>
              <w:t>符合性分析</w:t>
            </w:r>
          </w:p>
          <w:p>
            <w:pPr>
              <w:keepNext w:val="0"/>
              <w:keepLines w:val="0"/>
              <w:pageBreakBefore w:val="0"/>
              <w:kinsoku/>
              <w:wordWrap w:val="0"/>
              <w:overflowPunct/>
              <w:topLinePunct/>
              <w:autoSpaceDE w:val="0"/>
              <w:autoSpaceDN w:val="0"/>
              <w:bidi w:val="0"/>
              <w:adjustRightInd/>
              <w:snapToGrid w:val="0"/>
              <w:spacing w:line="500" w:lineRule="exact"/>
              <w:ind w:firstLine="480" w:firstLineChars="200"/>
              <w:textAlignment w:val="center"/>
              <w:rPr>
                <w:rFonts w:hint="eastAsia" w:ascii="Times New Roman" w:hAnsi="Times New Roman" w:eastAsia="宋体" w:cs="Times New Roman"/>
                <w:bCs/>
                <w:color w:val="auto"/>
                <w:highlight w:val="none"/>
                <w:lang w:val="en-US" w:eastAsia="zh-CN"/>
              </w:rPr>
            </w:pPr>
            <w:r>
              <w:rPr>
                <w:rFonts w:hint="eastAsia" w:ascii="Times New Roman" w:hAnsi="Times New Roman" w:eastAsia="宋体" w:cs="Times New Roman"/>
                <w:bCs/>
                <w:color w:val="auto"/>
                <w:highlight w:val="none"/>
                <w:lang w:val="en-US" w:eastAsia="zh-CN"/>
              </w:rPr>
              <w:t>《条例》本项目不使用煤和其他高污染燃料，不属于</w:t>
            </w:r>
            <w:r>
              <w:rPr>
                <w:rFonts w:hint="eastAsia" w:ascii="Times New Roman" w:hAnsi="Times New Roman" w:eastAsia="宋体" w:cs="Times New Roman"/>
                <w:bCs/>
                <w:color w:val="auto"/>
                <w:highlight w:val="none"/>
              </w:rPr>
              <w:t>高污染（排放）、高能（水）耗、高环境风险的工业项目</w:t>
            </w:r>
            <w:r>
              <w:rPr>
                <w:rFonts w:hint="eastAsia" w:ascii="Times New Roman" w:hAnsi="Times New Roman" w:eastAsia="宋体" w:cs="Times New Roman"/>
                <w:bCs/>
                <w:color w:val="auto"/>
                <w:highlight w:val="none"/>
                <w:lang w:eastAsia="zh-CN"/>
              </w:rPr>
              <w:t>；</w:t>
            </w:r>
            <w:r>
              <w:rPr>
                <w:rFonts w:hint="eastAsia" w:ascii="Times New Roman" w:hAnsi="Times New Roman" w:eastAsia="宋体" w:cs="Times New Roman"/>
                <w:bCs/>
                <w:color w:val="auto"/>
                <w:highlight w:val="none"/>
                <w:lang w:val="en-US" w:eastAsia="zh-CN"/>
              </w:rPr>
              <w:t>柴油储罐密闭，采出液罐装卸过程密闭；施工过程使用符合国家排放标准的机动车辆；施工场地</w:t>
            </w:r>
            <w:r>
              <w:rPr>
                <w:rFonts w:hint="eastAsia" w:cs="Times New Roman"/>
                <w:bCs/>
                <w:color w:val="auto"/>
                <w:highlight w:val="none"/>
                <w:lang w:val="en-US" w:eastAsia="zh-CN"/>
              </w:rPr>
              <w:t>使用</w:t>
            </w:r>
            <w:r>
              <w:rPr>
                <w:rFonts w:hint="eastAsia" w:ascii="Times New Roman" w:hAnsi="Times New Roman" w:eastAsia="宋体" w:cs="Times New Roman"/>
                <w:bCs/>
                <w:color w:val="auto"/>
                <w:highlight w:val="none"/>
                <w:lang w:val="en-US" w:eastAsia="zh-CN"/>
              </w:rPr>
              <w:t>砂砾石对地表进行覆盖，措施防止扬尘产生。钻井岩屑均进储罐并进行覆盖，防止扬尘产生。符合《新疆维吾尔自治区大气污染防治条例》相关要求。</w:t>
            </w:r>
          </w:p>
          <w:p>
            <w:pPr>
              <w:pStyle w:val="54"/>
              <w:bidi w:val="0"/>
              <w:rPr>
                <w:rFonts w:hint="eastAsia" w:ascii="Times New Roman" w:hAnsi="Times New Roman" w:eastAsia="宋体" w:cs="Times New Roman"/>
                <w:b/>
                <w:bCs/>
                <w:color w:val="auto"/>
                <w:kern w:val="2"/>
                <w:sz w:val="24"/>
                <w:szCs w:val="24"/>
                <w:highlight w:val="none"/>
                <w:lang w:val="en-US" w:eastAsia="zh-CN" w:bidi="ar-SA"/>
              </w:rPr>
            </w:pPr>
            <w:r>
              <w:rPr>
                <w:rFonts w:hint="eastAsia" w:ascii="Times New Roman" w:hAnsi="Times New Roman" w:eastAsia="宋体" w:cs="Times New Roman"/>
                <w:b/>
                <w:bCs/>
                <w:color w:val="auto"/>
                <w:kern w:val="2"/>
                <w:sz w:val="24"/>
                <w:szCs w:val="24"/>
                <w:highlight w:val="none"/>
                <w:lang w:val="en-US" w:eastAsia="zh-CN" w:bidi="ar-SA"/>
              </w:rPr>
              <w:t>与《新疆维吾尔自治区煤炭</w:t>
            </w:r>
            <w:r>
              <w:rPr>
                <w:rStyle w:val="61"/>
                <w:rFonts w:hint="eastAsia"/>
                <w:b/>
                <w:color w:val="auto"/>
                <w:lang w:val="en-US" w:eastAsia="zh-CN"/>
              </w:rPr>
              <w:t>石</w:t>
            </w:r>
            <w:r>
              <w:rPr>
                <w:rFonts w:hint="eastAsia" w:ascii="Times New Roman" w:hAnsi="Times New Roman" w:eastAsia="宋体" w:cs="Times New Roman"/>
                <w:b/>
                <w:bCs/>
                <w:color w:val="auto"/>
                <w:kern w:val="2"/>
                <w:sz w:val="24"/>
                <w:szCs w:val="24"/>
                <w:highlight w:val="none"/>
                <w:lang w:val="en-US" w:eastAsia="zh-CN" w:bidi="ar-SA"/>
              </w:rPr>
              <w:t>油天然气开发环境保护条例》符合性分析</w:t>
            </w:r>
          </w:p>
          <w:p>
            <w:pPr>
              <w:pStyle w:val="10"/>
              <w:bidi w:val="0"/>
              <w:rPr>
                <w:rFonts w:hint="eastAsia"/>
                <w:color w:val="auto"/>
                <w:lang w:val="en-US" w:eastAsia="zh-CN"/>
              </w:rPr>
            </w:pPr>
            <w:r>
              <w:rPr>
                <w:rFonts w:hint="eastAsia"/>
                <w:color w:val="auto"/>
                <w:lang w:val="en-US" w:eastAsia="zh-CN"/>
              </w:rPr>
              <w:t>《新疆维吾尔自治区煤炭石油天然气开发环境保护条例》中提出：石油、天然气开发单位钻井和井下作业应当使用无毒、低毒钻井液。对已使用的有毒钻井液应当回收利用并做无害化处置，防止污染环境。对钻井作业产生的污水应当进行回收，经处理达标后方可回注。未经处理达标的污水不得回注或者外排。对钻井作业产生的污油、废矿物油应当回收处理。石油、天然气开发单位应当采取保护性措施，防止油井套管破损、气井泄漏，污染地下水体。运输石油、天然气以及酸液、碱液、钻井液和其他有毒有害物品，应当采取防范措施，防止渗漏、泄露、溢流和散落。煤炭、石油、天然气开发过程中产生的伴生气、有毒有害气体或者可燃性气体应当进行回收利用；不具备回收利用条件的，应当经过充分燃烧或者采取其他防治措施，达到国家或者自治区规定的排放标准后排放。</w:t>
            </w:r>
          </w:p>
          <w:p>
            <w:pPr>
              <w:pStyle w:val="10"/>
              <w:bidi w:val="0"/>
              <w:rPr>
                <w:rFonts w:hint="eastAsia"/>
                <w:color w:val="auto"/>
                <w:lang w:val="en-US" w:eastAsia="zh-CN"/>
              </w:rPr>
            </w:pPr>
            <w:r>
              <w:rPr>
                <w:rFonts w:hint="eastAsia"/>
                <w:color w:val="auto"/>
                <w:lang w:val="en-US" w:eastAsia="zh-CN"/>
              </w:rPr>
              <w:t>本项目一开采用水基钻井液，二开和三开采用油基钻井液，钻井时岩屑随钻井液排出井口，进入固控设备处理后岩屑与钻井液分离，液相循环使用，钻井结束后由钻井队带走，用于下一口井钻井液的配制，固相经钻井液不落地系统处理后进罐收集。一开水基钻井岩屑交岩屑处置公司处理，二开、三开油基钻井岩屑交由有相应危险废物处置资质单位转运、处置。试油废水进罐收集后运至石西集中处理站采出水处理系统处理；钻试过程产生的沾油废防渗材料、废润滑油及废润滑油桶均交由有危险废物处置资质单位</w:t>
            </w:r>
            <w:r>
              <w:rPr>
                <w:rFonts w:hint="eastAsia" w:ascii="Times New Roman" w:eastAsia="宋体"/>
                <w:color w:val="auto"/>
                <w:lang w:val="en-US" w:eastAsia="zh-CN"/>
              </w:rPr>
              <w:t>转运、处置</w:t>
            </w:r>
            <w:r>
              <w:rPr>
                <w:rFonts w:hint="eastAsia"/>
                <w:color w:val="auto"/>
                <w:lang w:val="en-US" w:eastAsia="zh-CN"/>
              </w:rPr>
              <w:t>；试油时伴生气产量不稳定，不具备回收利用条件，通过排气管线充分燃烧后放空；项目钻井液、岩屑等在运输过程中，采取了防泄漏等防范措施，因此本项目符合《新疆维吾尔自治区煤炭石油天然气开发环境保护条例》。</w:t>
            </w:r>
          </w:p>
          <w:p>
            <w:pPr>
              <w:pStyle w:val="54"/>
              <w:bidi w:val="0"/>
              <w:rPr>
                <w:rFonts w:hint="default"/>
                <w:color w:val="auto"/>
                <w:lang w:val="en-US" w:eastAsia="zh-CN"/>
              </w:rPr>
            </w:pPr>
            <w:bookmarkStart w:id="28" w:name="OLE_LINK59"/>
            <w:r>
              <w:rPr>
                <w:rFonts w:hint="eastAsia"/>
                <w:color w:val="auto"/>
                <w:lang w:val="en-US" w:eastAsia="zh-CN"/>
              </w:rPr>
              <w:t>项目与</w:t>
            </w:r>
            <w:r>
              <w:rPr>
                <w:rFonts w:hint="eastAsia"/>
                <w:color w:val="auto"/>
              </w:rPr>
              <w:t>《昌吉回族自治州生态环境保护与建设“十四五”规划》</w:t>
            </w:r>
            <w:r>
              <w:rPr>
                <w:rFonts w:hint="eastAsia"/>
                <w:color w:val="auto"/>
                <w:lang w:val="en-US" w:eastAsia="zh-CN"/>
              </w:rPr>
              <w:t>符合性</w:t>
            </w:r>
          </w:p>
          <w:p>
            <w:pPr>
              <w:pStyle w:val="10"/>
              <w:bidi w:val="0"/>
              <w:rPr>
                <w:rFonts w:hint="eastAsia" w:ascii="Times New Roman" w:eastAsia="宋体"/>
                <w:color w:val="auto"/>
                <w:lang w:val="en-US" w:eastAsia="zh-CN"/>
              </w:rPr>
            </w:pPr>
            <w:r>
              <w:rPr>
                <w:rFonts w:hint="eastAsia"/>
                <w:color w:val="auto"/>
                <w:lang w:val="en-US" w:eastAsia="zh-CN"/>
              </w:rPr>
              <w:t>本项目与</w:t>
            </w:r>
            <w:r>
              <w:rPr>
                <w:rFonts w:hint="eastAsia"/>
                <w:color w:val="auto"/>
              </w:rPr>
              <w:t>《昌吉回族自治州生态环境保护与建设“十四五”规划》</w:t>
            </w:r>
            <w:r>
              <w:rPr>
                <w:rFonts w:hint="eastAsia" w:ascii="Times New Roman" w:eastAsia="宋体"/>
                <w:color w:val="auto"/>
                <w:lang w:val="en-US" w:eastAsia="zh-CN"/>
              </w:rPr>
              <w:t>符合性分析见下表所示。</w:t>
            </w:r>
          </w:p>
          <w:p>
            <w:pPr>
              <w:pStyle w:val="56"/>
              <w:bidi w:val="0"/>
              <w:rPr>
                <w:rFonts w:hint="default"/>
                <w:color w:val="auto"/>
                <w:lang w:val="en-US" w:eastAsia="zh-CN"/>
              </w:rPr>
            </w:pPr>
            <w:r>
              <w:rPr>
                <w:rFonts w:hint="eastAsia"/>
                <w:color w:val="auto"/>
                <w:lang w:val="en-US" w:eastAsia="zh-CN"/>
              </w:rPr>
              <w:t>表1-8  项目与</w:t>
            </w:r>
            <w:r>
              <w:rPr>
                <w:rFonts w:hint="eastAsia"/>
                <w:color w:val="auto"/>
              </w:rPr>
              <w:t>《昌吉回族自治州生态环境保护与建设“十四五”规划》</w:t>
            </w:r>
            <w:r>
              <w:rPr>
                <w:rFonts w:hint="eastAsia"/>
                <w:color w:val="auto"/>
                <w:lang w:val="en-US" w:eastAsia="zh-CN"/>
              </w:rPr>
              <w:t>符合性分析</w:t>
            </w:r>
          </w:p>
          <w:tbl>
            <w:tblPr>
              <w:tblStyle w:val="5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59"/>
              <w:gridCol w:w="3938"/>
              <w:gridCol w:w="3207"/>
              <w:gridCol w:w="67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34" w:type="pct"/>
                  <w:vAlign w:val="center"/>
                </w:tcPr>
                <w:p>
                  <w:pPr>
                    <w:adjustRightInd w:val="0"/>
                    <w:snapToGrid w:val="0"/>
                    <w:spacing w:line="300" w:lineRule="exact"/>
                    <w:contextualSpacing/>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序号</w:t>
                  </w:r>
                </w:p>
              </w:tc>
              <w:tc>
                <w:tcPr>
                  <w:tcW w:w="2350" w:type="pct"/>
                  <w:vAlign w:val="center"/>
                </w:tcPr>
                <w:p>
                  <w:pPr>
                    <w:adjustRightInd w:val="0"/>
                    <w:snapToGrid w:val="0"/>
                    <w:spacing w:line="300" w:lineRule="exact"/>
                    <w:contextualSpacing/>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规划要求</w:t>
                  </w:r>
                </w:p>
              </w:tc>
              <w:tc>
                <w:tcPr>
                  <w:tcW w:w="1914" w:type="pct"/>
                  <w:vAlign w:val="center"/>
                </w:tcPr>
                <w:p>
                  <w:pPr>
                    <w:adjustRightInd w:val="0"/>
                    <w:snapToGrid w:val="0"/>
                    <w:spacing w:line="300" w:lineRule="exact"/>
                    <w:contextualSpacing/>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本项目情况</w:t>
                  </w:r>
                </w:p>
              </w:tc>
              <w:tc>
                <w:tcPr>
                  <w:tcW w:w="401" w:type="pct"/>
                  <w:vAlign w:val="center"/>
                </w:tcPr>
                <w:p>
                  <w:pPr>
                    <w:adjustRightInd w:val="0"/>
                    <w:snapToGrid w:val="0"/>
                    <w:spacing w:line="300" w:lineRule="exact"/>
                    <w:contextualSpacing/>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符合性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34" w:type="pct"/>
                  <w:vAlign w:val="center"/>
                </w:tcPr>
                <w:p>
                  <w:pPr>
                    <w:adjustRightInd w:val="0"/>
                    <w:snapToGrid w:val="0"/>
                    <w:spacing w:line="300" w:lineRule="exact"/>
                    <w:contextualSpacing/>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2350" w:type="pct"/>
                  <w:vAlign w:val="center"/>
                </w:tcPr>
                <w:p>
                  <w:pPr>
                    <w:adjustRightInd w:val="0"/>
                    <w:snapToGrid w:val="0"/>
                    <w:spacing w:line="300" w:lineRule="exact"/>
                    <w:contextualSpacing/>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加快发展现代煤化工、新材料、有色金属、煤炭、煤电、矿产开采及加工等优势产业，培育壮大先进装备制造、页岩油气加工、节能环保、新型建材、新能源等新兴产业和生产性服务业。</w:t>
                  </w:r>
                </w:p>
              </w:tc>
              <w:tc>
                <w:tcPr>
                  <w:tcW w:w="1914" w:type="pct"/>
                  <w:vAlign w:val="center"/>
                </w:tcPr>
                <w:p>
                  <w:pPr>
                    <w:adjustRightInd w:val="0"/>
                    <w:snapToGrid w:val="0"/>
                    <w:spacing w:line="300" w:lineRule="exact"/>
                    <w:contextualSpacing/>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本项目属于陆地石油勘探</w:t>
                  </w:r>
                  <w:r>
                    <w:rPr>
                      <w:rFonts w:hint="default" w:ascii="Times New Roman" w:hAnsi="Times New Roman" w:cs="Times New Roman"/>
                      <w:color w:val="auto"/>
                      <w:sz w:val="21"/>
                      <w:szCs w:val="21"/>
                      <w:lang w:val="en-US" w:eastAsia="zh-CN"/>
                    </w:rPr>
                    <w:t>项目</w:t>
                  </w:r>
                </w:p>
              </w:tc>
              <w:tc>
                <w:tcPr>
                  <w:tcW w:w="401" w:type="pct"/>
                  <w:vAlign w:val="center"/>
                </w:tcPr>
                <w:p>
                  <w:pPr>
                    <w:adjustRightInd w:val="0"/>
                    <w:snapToGrid w:val="0"/>
                    <w:spacing w:line="300" w:lineRule="exact"/>
                    <w:contextualSpacing/>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34" w:type="pct"/>
                  <w:vAlign w:val="center"/>
                </w:tcPr>
                <w:p>
                  <w:pPr>
                    <w:adjustRightInd w:val="0"/>
                    <w:snapToGrid w:val="0"/>
                    <w:spacing w:line="300" w:lineRule="exact"/>
                    <w:contextualSpacing/>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2</w:t>
                  </w:r>
                </w:p>
              </w:tc>
              <w:tc>
                <w:tcPr>
                  <w:tcW w:w="2350" w:type="pct"/>
                  <w:vAlign w:val="center"/>
                </w:tcPr>
                <w:p>
                  <w:pPr>
                    <w:adjustRightInd w:val="0"/>
                    <w:snapToGrid w:val="0"/>
                    <w:spacing w:line="300" w:lineRule="exact"/>
                    <w:contextualSpacing/>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严守水资源管理“三条红线”，严格实行区域用水总量和强度控制，健全州、县（市）、乡（镇）三级行政区用水总量和用水强度控制指标体系，规范农业灌溉用水定额管理，严格执行国家、自治区和行业用水定额标准，强化节水约束性指标管理。</w:t>
                  </w:r>
                </w:p>
              </w:tc>
              <w:tc>
                <w:tcPr>
                  <w:tcW w:w="1914" w:type="pct"/>
                  <w:vAlign w:val="center"/>
                </w:tcPr>
                <w:p>
                  <w:pPr>
                    <w:adjustRightInd w:val="0"/>
                    <w:snapToGrid w:val="0"/>
                    <w:spacing w:line="300" w:lineRule="exact"/>
                    <w:contextualSpacing/>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拟部署井</w:t>
                  </w:r>
                  <w:r>
                    <w:rPr>
                      <w:rFonts w:hint="default" w:ascii="Times New Roman" w:hAnsi="Times New Roman" w:cs="Times New Roman"/>
                      <w:color w:val="auto"/>
                      <w:sz w:val="21"/>
                      <w:szCs w:val="21"/>
                    </w:rPr>
                    <w:t>钻试期仅消耗少量新鲜水，用量在区域可承受范围内，不会突破区域资源利用上线</w:t>
                  </w:r>
                </w:p>
              </w:tc>
              <w:tc>
                <w:tcPr>
                  <w:tcW w:w="401" w:type="pct"/>
                  <w:vAlign w:val="center"/>
                </w:tcPr>
                <w:p>
                  <w:pPr>
                    <w:adjustRightInd w:val="0"/>
                    <w:snapToGrid w:val="0"/>
                    <w:spacing w:line="300" w:lineRule="exact"/>
                    <w:contextualSpacing/>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34" w:type="pct"/>
                  <w:vAlign w:val="center"/>
                </w:tcPr>
                <w:p>
                  <w:pPr>
                    <w:adjustRightInd w:val="0"/>
                    <w:snapToGrid w:val="0"/>
                    <w:spacing w:line="300" w:lineRule="exact"/>
                    <w:contextualSpacing/>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3</w:t>
                  </w:r>
                </w:p>
              </w:tc>
              <w:tc>
                <w:tcPr>
                  <w:tcW w:w="2350" w:type="pct"/>
                  <w:vAlign w:val="center"/>
                </w:tcPr>
                <w:p>
                  <w:pPr>
                    <w:adjustRightInd w:val="0"/>
                    <w:snapToGrid w:val="0"/>
                    <w:spacing w:line="300" w:lineRule="exact"/>
                    <w:contextualSpacing/>
                    <w:jc w:val="center"/>
                    <w:rPr>
                      <w:rFonts w:hint="default" w:ascii="Times New Roman" w:hAnsi="Times New Roman" w:cs="Times New Roman"/>
                      <w:color w:val="auto"/>
                      <w:sz w:val="21"/>
                      <w:szCs w:val="21"/>
                      <w:lang w:bidi="ar"/>
                    </w:rPr>
                  </w:pPr>
                  <w:r>
                    <w:rPr>
                      <w:rFonts w:hint="default" w:ascii="Times New Roman" w:hAnsi="Times New Roman" w:cs="Times New Roman"/>
                      <w:color w:val="auto"/>
                      <w:sz w:val="21"/>
                      <w:szCs w:val="21"/>
                    </w:rPr>
                    <w:t>建立健全地下水污染防治重点区划定制度，规范禁止开采区、限制开采区划定；强化禁止开采区、限制开采区管理；规范地下水超采治理。强化对污染地下水行为的管控，切实防止土壤污染导致地下水污染。</w:t>
                  </w:r>
                </w:p>
              </w:tc>
              <w:tc>
                <w:tcPr>
                  <w:tcW w:w="1914" w:type="pct"/>
                  <w:vAlign w:val="center"/>
                </w:tcPr>
                <w:p>
                  <w:pPr>
                    <w:adjustRightInd w:val="0"/>
                    <w:snapToGrid w:val="0"/>
                    <w:spacing w:line="300" w:lineRule="exact"/>
                    <w:contextualSpacing/>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拟部署井钻试期使用的新鲜水由罐车从石西作业区供水点拉运至项目区，不开采地下水钻井过程中使用水泥固井，用套管将含水层与井筒分隔开，钻试井场分区防渗，均采取了符合规范的防渗措施，不会对地下水环境产生不利影响</w:t>
                  </w:r>
                </w:p>
              </w:tc>
              <w:tc>
                <w:tcPr>
                  <w:tcW w:w="401" w:type="pct"/>
                  <w:vAlign w:val="center"/>
                </w:tcPr>
                <w:p>
                  <w:pPr>
                    <w:adjustRightInd w:val="0"/>
                    <w:snapToGrid w:val="0"/>
                    <w:spacing w:line="300" w:lineRule="exact"/>
                    <w:contextualSpacing/>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符合</w:t>
                  </w:r>
                </w:p>
              </w:tc>
            </w:tr>
            <w:bookmarkEnd w:id="28"/>
          </w:tbl>
          <w:p>
            <w:pPr>
              <w:pStyle w:val="54"/>
              <w:bidi w:val="0"/>
              <w:rPr>
                <w:rFonts w:hint="eastAsia"/>
                <w:color w:val="auto"/>
                <w:lang w:val="en-US" w:eastAsia="zh-CN"/>
              </w:rPr>
            </w:pPr>
            <w:r>
              <w:rPr>
                <w:rFonts w:hint="eastAsia"/>
                <w:color w:val="auto"/>
                <w:lang w:val="en-US" w:eastAsia="zh-CN"/>
              </w:rPr>
              <w:t>与《新</w:t>
            </w:r>
            <w:bookmarkStart w:id="29" w:name="OLE_LINK56"/>
            <w:r>
              <w:rPr>
                <w:rFonts w:hint="eastAsia"/>
                <w:color w:val="auto"/>
                <w:lang w:val="en-US" w:eastAsia="zh-CN"/>
              </w:rPr>
              <w:t>疆维吾尔自治区 2025 年空气质量持续改</w:t>
            </w:r>
            <w:bookmarkEnd w:id="29"/>
            <w:r>
              <w:rPr>
                <w:rFonts w:hint="eastAsia"/>
                <w:color w:val="auto"/>
                <w:lang w:val="en-US" w:eastAsia="zh-CN"/>
              </w:rPr>
              <w:t>善行动实施方案》（新政办发〔2024〕58号）符合性分析</w:t>
            </w:r>
          </w:p>
          <w:bookmarkEnd w:id="27"/>
          <w:p>
            <w:pPr>
              <w:pStyle w:val="10"/>
              <w:bidi w:val="0"/>
              <w:rPr>
                <w:rFonts w:hint="eastAsia"/>
                <w:lang w:val="en-US" w:eastAsia="zh-CN"/>
              </w:rPr>
            </w:pPr>
            <w:r>
              <w:rPr>
                <w:rFonts w:hint="eastAsia"/>
                <w:lang w:val="en-US" w:eastAsia="zh-CN"/>
              </w:rPr>
              <w:t>《方案》要求：推进矿山生态环境综合整治。根据安全生产、水土保持、生态环境等要求，新建矿山按照绿色矿山标准规划、设计、建设和运行管理，鼓励同步建设铁路专用线或采用其他清洁运输方式；推进生产矿山绿色矿山建设依法关闭限期整改仍不达标矿山。沙化土地范围内矿产资源开发建设项目加强防沙治沙工作。</w:t>
            </w:r>
          </w:p>
          <w:p>
            <w:pPr>
              <w:pStyle w:val="10"/>
              <w:bidi w:val="0"/>
              <w:rPr>
                <w:rFonts w:hint="eastAsia"/>
                <w:color w:val="auto"/>
                <w:lang w:val="en-US" w:eastAsia="zh-CN"/>
              </w:rPr>
            </w:pPr>
            <w:r>
              <w:rPr>
                <w:rFonts w:hint="eastAsia"/>
                <w:color w:val="auto"/>
                <w:lang w:val="en-US" w:eastAsia="zh-CN"/>
              </w:rPr>
              <w:t>本项目钻试过程严格控制施工范围，合理布置施工现场，尽量减少临时占地，对临时堆土及粉状材料进行苫盖，施工产生的各类污染物进行合理收集及处置，施工结束对临时占地进行清理、平整，表土回填，恢复地貌。故符合《新疆维吾尔自治区 2025 年空气质量持续改善行动实施方案》要求。</w:t>
            </w:r>
          </w:p>
          <w:p>
            <w:pPr>
              <w:pStyle w:val="54"/>
              <w:bidi w:val="0"/>
              <w:rPr>
                <w:rFonts w:hint="default"/>
                <w:lang w:val="en-US" w:eastAsia="zh-CN"/>
              </w:rPr>
            </w:pPr>
            <w:r>
              <w:rPr>
                <w:rFonts w:hint="eastAsia"/>
                <w:lang w:val="en-US" w:eastAsia="zh-CN"/>
              </w:rPr>
              <w:t>项目与</w:t>
            </w:r>
            <w:r>
              <w:rPr>
                <w:rFonts w:hint="default"/>
                <w:lang w:val="en-US" w:eastAsia="zh-CN"/>
              </w:rPr>
              <w:t>《重点行业挥发性有机物综合治理方案》</w:t>
            </w:r>
            <w:r>
              <w:rPr>
                <w:rFonts w:hint="eastAsia"/>
                <w:lang w:val="en-US" w:eastAsia="zh-CN"/>
              </w:rPr>
              <w:t>要求符合性分析</w:t>
            </w:r>
          </w:p>
          <w:p>
            <w:pPr>
              <w:pStyle w:val="10"/>
              <w:bidi w:val="0"/>
              <w:rPr>
                <w:rFonts w:hint="default"/>
                <w:lang w:val="en-US" w:eastAsia="zh-CN"/>
              </w:rPr>
            </w:pPr>
            <w:r>
              <w:rPr>
                <w:rFonts w:hint="default"/>
                <w:lang w:val="en-US" w:eastAsia="zh-CN"/>
              </w:rPr>
              <w:t>本项目伴生气充分燃烧后排放；柴油储存过程密闭；油基岩屑主要成分为白油，具有低挥发性的特点；采出液使用密闭储罐储存，可降低挥发性有机物的排放。项目对产生各类废物分类收集、分区贮存，委托相应处置单位进行处理，并进行台账记录，符合《重点行业挥发性有机物综合治理方案》要求。</w:t>
            </w:r>
          </w:p>
          <w:p>
            <w:pPr>
              <w:pStyle w:val="68"/>
              <w:bidi w:val="0"/>
              <w:rPr>
                <w:rFonts w:hint="eastAsia"/>
                <w:lang w:val="en-US" w:eastAsia="zh-CN"/>
              </w:rPr>
            </w:pPr>
          </w:p>
          <w:p>
            <w:pPr>
              <w:pStyle w:val="68"/>
              <w:bidi w:val="0"/>
              <w:rPr>
                <w:rFonts w:hint="default"/>
                <w:lang w:val="en-US" w:eastAsia="zh-CN"/>
              </w:rPr>
            </w:pPr>
          </w:p>
          <w:p>
            <w:pPr>
              <w:pStyle w:val="68"/>
              <w:bidi w:val="0"/>
              <w:rPr>
                <w:rFonts w:hint="default"/>
                <w:lang w:val="en-US" w:eastAsia="zh-CN"/>
              </w:rPr>
            </w:pPr>
          </w:p>
          <w:p>
            <w:pPr>
              <w:pStyle w:val="68"/>
              <w:bidi w:val="0"/>
              <w:rPr>
                <w:rFonts w:hint="default"/>
                <w:lang w:val="en-US" w:eastAsia="zh-CN"/>
              </w:rPr>
            </w:pPr>
          </w:p>
          <w:p>
            <w:pPr>
              <w:pStyle w:val="68"/>
              <w:bidi w:val="0"/>
              <w:rPr>
                <w:rFonts w:hint="default"/>
                <w:lang w:val="en-US" w:eastAsia="zh-CN"/>
              </w:rPr>
            </w:pPr>
          </w:p>
          <w:p>
            <w:pPr>
              <w:pStyle w:val="68"/>
              <w:bidi w:val="0"/>
              <w:rPr>
                <w:rFonts w:hint="default"/>
                <w:lang w:val="en-US" w:eastAsia="zh-CN"/>
              </w:rPr>
            </w:pPr>
          </w:p>
          <w:p>
            <w:pPr>
              <w:pStyle w:val="68"/>
              <w:bidi w:val="0"/>
              <w:rPr>
                <w:rFonts w:hint="default"/>
                <w:lang w:val="en-US" w:eastAsia="zh-CN"/>
              </w:rPr>
            </w:pPr>
          </w:p>
          <w:p>
            <w:pPr>
              <w:pStyle w:val="68"/>
              <w:bidi w:val="0"/>
              <w:rPr>
                <w:rFonts w:hint="default"/>
                <w:lang w:val="en-US" w:eastAsia="zh-CN"/>
              </w:rPr>
            </w:pPr>
          </w:p>
          <w:p>
            <w:pPr>
              <w:pStyle w:val="68"/>
              <w:bidi w:val="0"/>
              <w:rPr>
                <w:rFonts w:hint="default"/>
                <w:lang w:val="en-US" w:eastAsia="zh-CN"/>
              </w:rPr>
            </w:pPr>
          </w:p>
          <w:p>
            <w:pPr>
              <w:pStyle w:val="68"/>
              <w:bidi w:val="0"/>
              <w:rPr>
                <w:rFonts w:hint="default"/>
                <w:lang w:val="en-US" w:eastAsia="zh-CN"/>
              </w:rPr>
            </w:pPr>
          </w:p>
          <w:p>
            <w:pPr>
              <w:pStyle w:val="68"/>
              <w:bidi w:val="0"/>
              <w:rPr>
                <w:rFonts w:hint="default"/>
                <w:lang w:val="en-US" w:eastAsia="zh-CN"/>
              </w:rPr>
            </w:pPr>
          </w:p>
          <w:p>
            <w:pPr>
              <w:pStyle w:val="68"/>
              <w:bidi w:val="0"/>
              <w:rPr>
                <w:rFonts w:hint="default"/>
                <w:lang w:val="en-US" w:eastAsia="zh-CN"/>
              </w:rPr>
            </w:pPr>
          </w:p>
          <w:p>
            <w:pPr>
              <w:pStyle w:val="68"/>
              <w:bidi w:val="0"/>
              <w:rPr>
                <w:rFonts w:hint="default"/>
                <w:lang w:val="en-US" w:eastAsia="zh-CN"/>
              </w:rPr>
            </w:pPr>
          </w:p>
          <w:p>
            <w:pPr>
              <w:rPr>
                <w:rFonts w:hint="default"/>
                <w:lang w:val="en-US" w:eastAsia="zh-CN"/>
              </w:rPr>
            </w:pPr>
          </w:p>
          <w:p>
            <w:pPr>
              <w:pStyle w:val="2"/>
              <w:rPr>
                <w:rFonts w:hint="default"/>
                <w:lang w:val="en-US" w:eastAsia="zh-CN"/>
              </w:rPr>
            </w:pPr>
          </w:p>
        </w:tc>
      </w:tr>
    </w:tbl>
    <w:p>
      <w:pPr>
        <w:rPr>
          <w:rFonts w:hint="default" w:ascii="Times New Roman" w:hAnsi="Times New Roman" w:cs="Times New Roman"/>
          <w:color w:val="000000" w:themeColor="text1"/>
          <w14:textFill>
            <w14:solidFill>
              <w14:schemeClr w14:val="tx1"/>
            </w14:solidFill>
          </w14:textFill>
        </w:rPr>
        <w:sectPr>
          <w:footerReference r:id="rId5" w:type="default"/>
          <w:pgSz w:w="11906" w:h="16838"/>
          <w:pgMar w:top="1417" w:right="1587" w:bottom="1417" w:left="1587"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pPr>
        <w:pStyle w:val="3"/>
        <w:rPr>
          <w:rFonts w:hint="default" w:ascii="Times New Roman" w:hAnsi="Times New Roman" w:eastAsia="黑体" w:cs="Times New Roman"/>
          <w:b w:val="0"/>
          <w:bCs/>
          <w:color w:val="000000" w:themeColor="text1"/>
          <w:sz w:val="30"/>
          <w:szCs w:val="30"/>
          <w14:textFill>
            <w14:solidFill>
              <w14:schemeClr w14:val="tx1"/>
            </w14:solidFill>
          </w14:textFill>
        </w:rPr>
      </w:pPr>
      <w:bookmarkStart w:id="30" w:name="_Toc32369"/>
      <w:r>
        <w:rPr>
          <w:rFonts w:hint="default" w:ascii="Times New Roman" w:hAnsi="Times New Roman" w:eastAsia="黑体" w:cs="Times New Roman"/>
          <w:b w:val="0"/>
          <w:bCs/>
          <w:color w:val="000000" w:themeColor="text1"/>
          <w:sz w:val="30"/>
          <w:szCs w:val="30"/>
          <w14:textFill>
            <w14:solidFill>
              <w14:schemeClr w14:val="tx1"/>
            </w14:solidFill>
          </w14:textFill>
        </w:rPr>
        <w:t>二、建设内容</w:t>
      </w:r>
      <w:bookmarkEnd w:id="30"/>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4"/>
        <w:gridCol w:w="8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1" w:hRule="atLeast"/>
        </w:trPr>
        <w:tc>
          <w:tcPr>
            <w:tcW w:w="228" w:type="pct"/>
            <w:vAlign w:val="center"/>
          </w:tcPr>
          <w:p>
            <w:pPr>
              <w:snapToGrid w:val="0"/>
              <w:spacing w:line="50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地理位置</w:t>
            </w:r>
          </w:p>
        </w:tc>
        <w:tc>
          <w:tcPr>
            <w:tcW w:w="4771" w:type="pct"/>
          </w:tcPr>
          <w:p>
            <w:pPr>
              <w:snapToGrid w:val="0"/>
              <w:spacing w:line="500" w:lineRule="exact"/>
              <w:ind w:firstLine="480" w:firstLineChars="200"/>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本项目行政隶属于新疆维吾尔自治区昌吉回族自治州呼图壁县，莫</w:t>
            </w:r>
            <w:r>
              <w:rPr>
                <w:rFonts w:hint="eastAsia" w:cs="Times New Roman"/>
                <w:color w:val="auto"/>
                <w:highlight w:val="none"/>
                <w:lang w:eastAsia="zh-CN"/>
              </w:rPr>
              <w:t>24H</w:t>
            </w:r>
            <w:r>
              <w:rPr>
                <w:rFonts w:hint="default" w:ascii="Times New Roman" w:hAnsi="Times New Roman" w:cs="Times New Roman"/>
                <w:color w:val="auto"/>
                <w:highlight w:val="none"/>
              </w:rPr>
              <w:t>井</w:t>
            </w:r>
            <w:r>
              <w:rPr>
                <w:rFonts w:hint="eastAsia" w:cs="Times New Roman"/>
                <w:color w:val="auto"/>
                <w:highlight w:val="none"/>
                <w:lang w:val="en-US" w:eastAsia="zh-CN"/>
              </w:rPr>
              <w:t>南</w:t>
            </w:r>
            <w:r>
              <w:rPr>
                <w:rFonts w:hint="default" w:ascii="Times New Roman" w:hAnsi="Times New Roman" w:cs="Times New Roman"/>
                <w:color w:val="auto"/>
                <w:highlight w:val="none"/>
              </w:rPr>
              <w:t>距</w:t>
            </w:r>
            <w:r>
              <w:rPr>
                <w:rFonts w:hint="eastAsia" w:cs="Times New Roman"/>
                <w:color w:val="auto"/>
                <w:highlight w:val="none"/>
                <w:lang w:val="en-US" w:eastAsia="zh-CN"/>
              </w:rPr>
              <w:t>呼图壁</w:t>
            </w:r>
            <w:r>
              <w:rPr>
                <w:rFonts w:hint="default" w:ascii="Times New Roman" w:hAnsi="Times New Roman" w:cs="Times New Roman"/>
                <w:color w:val="auto"/>
                <w:highlight w:val="none"/>
              </w:rPr>
              <w:t>县县城约</w:t>
            </w:r>
            <w:r>
              <w:rPr>
                <w:rFonts w:hint="eastAsia" w:cs="Times New Roman"/>
                <w:color w:val="auto"/>
                <w:highlight w:val="none"/>
                <w:lang w:val="en-US" w:eastAsia="zh-CN"/>
              </w:rPr>
              <w:t>85</w:t>
            </w:r>
            <w:r>
              <w:rPr>
                <w:rFonts w:hint="default" w:ascii="Times New Roman" w:hAnsi="Times New Roman" w:cs="Times New Roman"/>
                <w:color w:val="auto"/>
                <w:highlight w:val="none"/>
              </w:rPr>
              <w:t>km，北距</w:t>
            </w:r>
            <w:r>
              <w:rPr>
                <w:rFonts w:hint="eastAsia" w:cs="Times New Roman"/>
                <w:color w:val="auto"/>
                <w:highlight w:val="none"/>
                <w:lang w:val="en-US" w:eastAsia="zh-CN"/>
              </w:rPr>
              <w:t>石西集中处理站</w:t>
            </w:r>
            <w:r>
              <w:rPr>
                <w:rFonts w:hint="default" w:ascii="Times New Roman" w:hAnsi="Times New Roman" w:cs="Times New Roman"/>
                <w:color w:val="auto"/>
                <w:highlight w:val="none"/>
              </w:rPr>
              <w:t>约</w:t>
            </w:r>
            <w:r>
              <w:rPr>
                <w:rFonts w:hint="eastAsia" w:cs="Times New Roman"/>
                <w:color w:val="auto"/>
                <w:highlight w:val="none"/>
                <w:lang w:val="en-US" w:eastAsia="zh-CN"/>
              </w:rPr>
              <w:t>55</w:t>
            </w:r>
            <w:r>
              <w:rPr>
                <w:rFonts w:hint="default" w:ascii="Times New Roman" w:hAnsi="Times New Roman" w:cs="Times New Roman"/>
                <w:color w:val="auto"/>
                <w:highlight w:val="none"/>
              </w:rPr>
              <w:t>km</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本项目</w:t>
            </w:r>
            <w:r>
              <w:rPr>
                <w:rFonts w:hint="default" w:ascii="Times New Roman" w:hAnsi="Times New Roman" w:cs="Times New Roman"/>
                <w:color w:val="auto"/>
                <w:highlight w:val="none"/>
              </w:rPr>
              <w:t>井位坐标见表</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1，</w:t>
            </w:r>
            <w:r>
              <w:rPr>
                <w:rFonts w:hint="eastAsia" w:cs="Times New Roman"/>
                <w:b w:val="0"/>
                <w:bCs w:val="0"/>
                <w:color w:val="auto"/>
                <w:highlight w:val="none"/>
                <w:lang w:val="en-US" w:eastAsia="zh-CN"/>
              </w:rPr>
              <w:t>区域</w:t>
            </w:r>
            <w:r>
              <w:rPr>
                <w:rFonts w:hint="default" w:ascii="Times New Roman" w:hAnsi="Times New Roman" w:cs="Times New Roman"/>
                <w:b w:val="0"/>
                <w:bCs w:val="0"/>
                <w:color w:val="auto"/>
                <w:highlight w:val="none"/>
                <w:lang w:val="en-US" w:eastAsia="zh-CN"/>
              </w:rPr>
              <w:t>位置见</w:t>
            </w:r>
            <w:r>
              <w:rPr>
                <w:rFonts w:hint="default" w:ascii="Times New Roman" w:hAnsi="Times New Roman" w:cs="Times New Roman"/>
                <w:b/>
                <w:bCs/>
                <w:color w:val="auto"/>
                <w:highlight w:val="none"/>
                <w:lang w:val="en-US" w:eastAsia="zh-CN"/>
              </w:rPr>
              <w:t>附图</w:t>
            </w:r>
            <w:r>
              <w:rPr>
                <w:rFonts w:hint="eastAsia" w:cs="Times New Roman"/>
                <w:b/>
                <w:bCs/>
                <w:color w:val="auto"/>
                <w:highlight w:val="none"/>
                <w:lang w:val="en-US" w:eastAsia="zh-CN"/>
              </w:rPr>
              <w:t>3，</w:t>
            </w:r>
            <w:r>
              <w:rPr>
                <w:rFonts w:hint="eastAsia" w:cs="Times New Roman"/>
                <w:b w:val="0"/>
                <w:bCs w:val="0"/>
                <w:color w:val="auto"/>
                <w:highlight w:val="none"/>
                <w:lang w:val="en-US" w:eastAsia="zh-CN"/>
              </w:rPr>
              <w:t>地理</w:t>
            </w:r>
            <w:r>
              <w:rPr>
                <w:rFonts w:hint="default" w:ascii="Times New Roman" w:hAnsi="Times New Roman" w:cs="Times New Roman"/>
                <w:color w:val="auto"/>
                <w:highlight w:val="none"/>
              </w:rPr>
              <w:t>位置见</w:t>
            </w:r>
            <w:r>
              <w:rPr>
                <w:rFonts w:hint="default" w:ascii="Times New Roman" w:hAnsi="Times New Roman" w:cs="Times New Roman"/>
                <w:b/>
                <w:bCs/>
                <w:color w:val="auto"/>
                <w:highlight w:val="none"/>
              </w:rPr>
              <w:t>附图</w:t>
            </w:r>
            <w:r>
              <w:rPr>
                <w:rFonts w:hint="eastAsia" w:cs="Times New Roman"/>
                <w:b/>
                <w:bCs/>
                <w:color w:val="auto"/>
                <w:highlight w:val="none"/>
                <w:lang w:val="en-US" w:eastAsia="zh-CN"/>
              </w:rPr>
              <w:t>4</w:t>
            </w:r>
            <w:r>
              <w:rPr>
                <w:rFonts w:hint="default" w:ascii="Times New Roman" w:hAnsi="Times New Roman" w:cs="Times New Roman"/>
                <w:color w:val="auto"/>
                <w:highlight w:val="none"/>
              </w:rPr>
              <w:t>。</w:t>
            </w:r>
          </w:p>
          <w:p>
            <w:pPr>
              <w:pStyle w:val="56"/>
              <w:bidi w:val="0"/>
              <w:rPr>
                <w:rFonts w:hint="default"/>
              </w:rPr>
            </w:pPr>
            <w:r>
              <w:rPr>
                <w:rFonts w:hint="default"/>
              </w:rPr>
              <w:t>表</w:t>
            </w:r>
            <w:r>
              <w:rPr>
                <w:rFonts w:hint="default"/>
                <w:lang w:val="en-US" w:eastAsia="zh-CN"/>
              </w:rPr>
              <w:t>2-</w:t>
            </w:r>
            <w:r>
              <w:rPr>
                <w:rFonts w:hint="default"/>
              </w:rPr>
              <w:t xml:space="preserve">1  </w:t>
            </w:r>
            <w:r>
              <w:rPr>
                <w:rFonts w:hint="default"/>
                <w:lang w:val="en-US" w:eastAsia="zh-CN"/>
              </w:rPr>
              <w:t>本项目</w:t>
            </w:r>
            <w:r>
              <w:rPr>
                <w:rFonts w:hint="default"/>
              </w:rPr>
              <w:t>井位坐标</w:t>
            </w:r>
            <w:r>
              <w:rPr>
                <w:rFonts w:hint="default"/>
                <w:lang w:val="en-US" w:eastAsia="zh-CN"/>
              </w:rPr>
              <w:t>一览表</w:t>
            </w:r>
          </w:p>
          <w:tbl>
            <w:tblPr>
              <w:tblStyle w:val="27"/>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1197"/>
              <w:gridCol w:w="1607"/>
              <w:gridCol w:w="1883"/>
              <w:gridCol w:w="1550"/>
              <w:gridCol w:w="161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63" w:type="pct"/>
                  <w:vMerge w:val="restart"/>
                  <w:tcBorders>
                    <w:tl2br w:val="nil"/>
                    <w:tr2bl w:val="nil"/>
                  </w:tcBorders>
                  <w:vAlign w:val="center"/>
                </w:tcPr>
                <w:p>
                  <w:pPr>
                    <w:pStyle w:val="35"/>
                    <w:bidi w:val="0"/>
                    <w:rPr>
                      <w:rFonts w:hint="default"/>
                      <w:color w:val="auto"/>
                      <w:highlight w:val="none"/>
                    </w:rPr>
                  </w:pPr>
                  <w:bookmarkStart w:id="31" w:name="_Hlk175918775"/>
                  <w:r>
                    <w:rPr>
                      <w:rFonts w:hint="default"/>
                      <w:color w:val="auto"/>
                      <w:highlight w:val="none"/>
                    </w:rPr>
                    <w:t>井号</w:t>
                  </w:r>
                </w:p>
              </w:tc>
              <w:tc>
                <w:tcPr>
                  <w:tcW w:w="2222" w:type="pct"/>
                  <w:gridSpan w:val="2"/>
                  <w:tcBorders>
                    <w:tl2br w:val="nil"/>
                    <w:tr2bl w:val="nil"/>
                  </w:tcBorders>
                  <w:vAlign w:val="center"/>
                </w:tcPr>
                <w:p>
                  <w:pPr>
                    <w:pStyle w:val="35"/>
                    <w:bidi w:val="0"/>
                    <w:rPr>
                      <w:rFonts w:hint="default"/>
                      <w:color w:val="auto"/>
                      <w:highlight w:val="none"/>
                      <w:lang w:val="en-US" w:eastAsia="zh-CN"/>
                    </w:rPr>
                  </w:pPr>
                  <w:r>
                    <w:rPr>
                      <w:rFonts w:hint="default"/>
                      <w:color w:val="auto"/>
                      <w:highlight w:val="none"/>
                    </w:rPr>
                    <w:t>大地</w:t>
                  </w:r>
                  <w:r>
                    <w:rPr>
                      <w:rFonts w:hint="eastAsia"/>
                      <w:color w:val="auto"/>
                      <w:highlight w:val="none"/>
                      <w:lang w:val="en-US" w:eastAsia="zh-CN"/>
                    </w:rPr>
                    <w:t>2000坐标</w:t>
                  </w:r>
                </w:p>
              </w:tc>
              <w:tc>
                <w:tcPr>
                  <w:tcW w:w="2014" w:type="pct"/>
                  <w:gridSpan w:val="2"/>
                  <w:tcBorders>
                    <w:tl2br w:val="nil"/>
                    <w:tr2bl w:val="nil"/>
                  </w:tcBorders>
                  <w:vAlign w:val="center"/>
                </w:tcPr>
                <w:p>
                  <w:pPr>
                    <w:pStyle w:val="35"/>
                    <w:bidi w:val="0"/>
                    <w:rPr>
                      <w:rFonts w:hint="eastAsia" w:eastAsia="宋体"/>
                      <w:color w:val="auto"/>
                      <w:highlight w:val="none"/>
                      <w:lang w:val="en-US" w:eastAsia="zh-CN"/>
                    </w:rPr>
                  </w:pPr>
                  <w:r>
                    <w:rPr>
                      <w:rFonts w:hint="default"/>
                      <w:color w:val="auto"/>
                      <w:highlight w:val="none"/>
                    </w:rPr>
                    <w:t>经纬度</w:t>
                  </w:r>
                  <w:r>
                    <w:rPr>
                      <w:rFonts w:hint="eastAsia"/>
                      <w:color w:val="auto"/>
                      <w:highlight w:val="none"/>
                      <w:lang w:val="en-US" w:eastAsia="zh-CN"/>
                    </w:rPr>
                    <w:t>坐标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63" w:type="pct"/>
                  <w:vMerge w:val="continue"/>
                  <w:tcBorders>
                    <w:tl2br w:val="nil"/>
                    <w:tr2bl w:val="nil"/>
                  </w:tcBorders>
                  <w:vAlign w:val="center"/>
                </w:tcPr>
                <w:p>
                  <w:pPr>
                    <w:pStyle w:val="35"/>
                    <w:bidi w:val="0"/>
                    <w:rPr>
                      <w:rFonts w:hint="default"/>
                      <w:color w:val="auto"/>
                      <w:highlight w:val="none"/>
                    </w:rPr>
                  </w:pPr>
                </w:p>
              </w:tc>
              <w:tc>
                <w:tcPr>
                  <w:tcW w:w="1023" w:type="pct"/>
                  <w:tcBorders>
                    <w:tl2br w:val="nil"/>
                    <w:tr2bl w:val="nil"/>
                  </w:tcBorders>
                  <w:vAlign w:val="center"/>
                </w:tcPr>
                <w:p>
                  <w:pPr>
                    <w:pStyle w:val="35"/>
                    <w:bidi w:val="0"/>
                    <w:rPr>
                      <w:rFonts w:hint="default"/>
                      <w:color w:val="auto"/>
                      <w:highlight w:val="none"/>
                    </w:rPr>
                  </w:pPr>
                  <w:r>
                    <w:rPr>
                      <w:rFonts w:hint="default"/>
                      <w:color w:val="auto"/>
                      <w:highlight w:val="none"/>
                    </w:rPr>
                    <w:t>X</w:t>
                  </w:r>
                </w:p>
              </w:tc>
              <w:tc>
                <w:tcPr>
                  <w:tcW w:w="1198" w:type="pct"/>
                  <w:tcBorders>
                    <w:tl2br w:val="nil"/>
                    <w:tr2bl w:val="nil"/>
                  </w:tcBorders>
                  <w:vAlign w:val="center"/>
                </w:tcPr>
                <w:p>
                  <w:pPr>
                    <w:pStyle w:val="35"/>
                    <w:bidi w:val="0"/>
                    <w:rPr>
                      <w:rFonts w:hint="default"/>
                      <w:color w:val="auto"/>
                      <w:highlight w:val="none"/>
                    </w:rPr>
                  </w:pPr>
                  <w:r>
                    <w:rPr>
                      <w:rFonts w:hint="default"/>
                      <w:color w:val="auto"/>
                      <w:highlight w:val="none"/>
                    </w:rPr>
                    <w:t>Y</w:t>
                  </w:r>
                </w:p>
              </w:tc>
              <w:tc>
                <w:tcPr>
                  <w:tcW w:w="987" w:type="pct"/>
                  <w:tcBorders>
                    <w:tl2br w:val="nil"/>
                    <w:tr2bl w:val="nil"/>
                  </w:tcBorders>
                  <w:vAlign w:val="center"/>
                </w:tcPr>
                <w:p>
                  <w:pPr>
                    <w:pStyle w:val="35"/>
                    <w:bidi w:val="0"/>
                    <w:rPr>
                      <w:rFonts w:hint="default"/>
                      <w:color w:val="auto"/>
                      <w:highlight w:val="none"/>
                    </w:rPr>
                  </w:pPr>
                  <w:r>
                    <w:rPr>
                      <w:rFonts w:hint="default"/>
                      <w:color w:val="auto"/>
                      <w:highlight w:val="none"/>
                    </w:rPr>
                    <w:t>E</w:t>
                  </w:r>
                </w:p>
              </w:tc>
              <w:tc>
                <w:tcPr>
                  <w:tcW w:w="1027" w:type="pct"/>
                  <w:tcBorders>
                    <w:tl2br w:val="nil"/>
                    <w:tr2bl w:val="nil"/>
                  </w:tcBorders>
                  <w:vAlign w:val="center"/>
                </w:tcPr>
                <w:p>
                  <w:pPr>
                    <w:pStyle w:val="35"/>
                    <w:bidi w:val="0"/>
                    <w:rPr>
                      <w:rFonts w:hint="default"/>
                      <w:color w:val="auto"/>
                      <w:highlight w:val="none"/>
                    </w:rPr>
                  </w:pPr>
                  <w:r>
                    <w:rPr>
                      <w:rFonts w:hint="default"/>
                      <w:color w:val="auto"/>
                      <w:highlight w:val="none"/>
                    </w:rPr>
                    <w:t>N</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3" w:hRule="atLeast"/>
                <w:jc w:val="center"/>
              </w:trPr>
              <w:tc>
                <w:tcPr>
                  <w:tcW w:w="763" w:type="pct"/>
                  <w:tcBorders>
                    <w:tl2br w:val="nil"/>
                    <w:tr2bl w:val="nil"/>
                  </w:tcBorders>
                  <w:vAlign w:val="center"/>
                </w:tcPr>
                <w:p>
                  <w:pPr>
                    <w:pStyle w:val="35"/>
                    <w:bidi w:val="0"/>
                    <w:rPr>
                      <w:rFonts w:hint="default"/>
                      <w:color w:val="auto"/>
                      <w:highlight w:val="none"/>
                    </w:rPr>
                  </w:pPr>
                  <w:r>
                    <w:rPr>
                      <w:rFonts w:hint="eastAsia"/>
                      <w:color w:val="auto"/>
                      <w:highlight w:val="none"/>
                      <w:lang w:val="en-US" w:eastAsia="zh-CN"/>
                    </w:rPr>
                    <w:t>莫24H井</w:t>
                  </w:r>
                </w:p>
              </w:tc>
              <w:tc>
                <w:tcPr>
                  <w:tcW w:w="1023" w:type="pct"/>
                  <w:tcBorders>
                    <w:tl2br w:val="nil"/>
                    <w:tr2bl w:val="nil"/>
                  </w:tcBorders>
                  <w:vAlign w:val="center"/>
                </w:tcPr>
                <w:p>
                  <w:pPr>
                    <w:pStyle w:val="35"/>
                    <w:bidi w:val="0"/>
                    <w:rPr>
                      <w:rFonts w:hint="default"/>
                      <w:color w:val="auto"/>
                      <w:highlight w:val="none"/>
                    </w:rPr>
                  </w:pPr>
                </w:p>
              </w:tc>
              <w:tc>
                <w:tcPr>
                  <w:tcW w:w="1198" w:type="pct"/>
                  <w:tcBorders>
                    <w:tl2br w:val="nil"/>
                    <w:tr2bl w:val="nil"/>
                  </w:tcBorders>
                  <w:vAlign w:val="center"/>
                </w:tcPr>
                <w:p>
                  <w:pPr>
                    <w:pStyle w:val="35"/>
                    <w:bidi w:val="0"/>
                    <w:rPr>
                      <w:rFonts w:hint="default"/>
                      <w:color w:val="auto"/>
                      <w:highlight w:val="none"/>
                    </w:rPr>
                  </w:pPr>
                </w:p>
              </w:tc>
              <w:tc>
                <w:tcPr>
                  <w:tcW w:w="987" w:type="pct"/>
                  <w:tcBorders>
                    <w:tl2br w:val="nil"/>
                    <w:tr2bl w:val="nil"/>
                  </w:tcBorders>
                  <w:shd w:val="clear" w:color="auto" w:fill="auto"/>
                  <w:vAlign w:val="center"/>
                </w:tcPr>
                <w:p>
                  <w:pPr>
                    <w:pStyle w:val="35"/>
                    <w:bidi w:val="0"/>
                    <w:rPr>
                      <w:rFonts w:hint="default"/>
                      <w:color w:val="auto"/>
                      <w:highlight w:val="none"/>
                    </w:rPr>
                  </w:pPr>
                </w:p>
              </w:tc>
              <w:tc>
                <w:tcPr>
                  <w:tcW w:w="1027" w:type="pct"/>
                  <w:tcBorders>
                    <w:tl2br w:val="nil"/>
                    <w:tr2bl w:val="nil"/>
                  </w:tcBorders>
                  <w:vAlign w:val="center"/>
                </w:tcPr>
                <w:p>
                  <w:pPr>
                    <w:pStyle w:val="35"/>
                    <w:bidi w:val="0"/>
                    <w:rPr>
                      <w:rFonts w:hint="default"/>
                      <w:color w:val="auto"/>
                      <w:highlight w:val="none"/>
                    </w:rPr>
                  </w:pPr>
                </w:p>
              </w:tc>
            </w:tr>
            <w:bookmarkEnd w:id="31"/>
          </w:tbl>
          <w:p>
            <w:pPr>
              <w:pStyle w:val="14"/>
              <w:ind w:left="0" w:leftChars="0" w:firstLine="0" w:firstLineChars="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trPr>
        <w:tc>
          <w:tcPr>
            <w:tcW w:w="228" w:type="pct"/>
            <w:vAlign w:val="center"/>
          </w:tcPr>
          <w:p>
            <w:pPr>
              <w:snapToGrid w:val="0"/>
              <w:spacing w:line="500" w:lineRule="exact"/>
              <w:jc w:val="center"/>
              <w:rPr>
                <w:rFonts w:hint="default" w:ascii="Times New Roman" w:hAnsi="Times New Roman" w:cs="Times New Roman"/>
                <w:color w:val="auto"/>
                <w:highlight w:val="none"/>
              </w:rPr>
            </w:pPr>
            <w:bookmarkStart w:id="32" w:name="_Hlk136793942"/>
            <w:r>
              <w:rPr>
                <w:rFonts w:hint="default" w:ascii="Times New Roman" w:hAnsi="Times New Roman" w:cs="Times New Roman"/>
                <w:color w:val="auto"/>
                <w:highlight w:val="none"/>
              </w:rPr>
              <w:t>项目组成及规模</w:t>
            </w:r>
          </w:p>
        </w:tc>
        <w:tc>
          <w:tcPr>
            <w:tcW w:w="4771" w:type="pct"/>
          </w:tcPr>
          <w:p>
            <w:pPr>
              <w:pStyle w:val="10"/>
              <w:bidi w:val="0"/>
              <w:rPr>
                <w:rFonts w:hint="default" w:ascii="Times New Roman" w:hAnsi="Times New Roman" w:cs="Times New Roman"/>
                <w:color w:val="auto"/>
                <w:highlight w:val="none"/>
              </w:rPr>
            </w:pPr>
            <w:bookmarkStart w:id="33" w:name="OLE_LINK18"/>
            <w:bookmarkStart w:id="34" w:name="OLE_LINK29"/>
            <w:r>
              <w:rPr>
                <w:rFonts w:hint="eastAsia"/>
                <w:color w:val="auto"/>
                <w:highlight w:val="none"/>
                <w:lang w:val="en-US" w:eastAsia="zh-CN"/>
              </w:rPr>
              <w:t>本次在</w:t>
            </w:r>
            <w:r>
              <w:rPr>
                <w:rFonts w:hint="eastAsia" w:ascii="Times New Roman" w:hAnsi="Times New Roman" w:eastAsia="宋体" w:cs="Times New Roman"/>
                <w:color w:val="auto"/>
                <w:kern w:val="0"/>
                <w:sz w:val="24"/>
                <w:szCs w:val="24"/>
                <w:lang w:val="en-US" w:eastAsia="zh-CN" w:bidi="ar-SA"/>
              </w:rPr>
              <w:t>东道海子勘查区</w:t>
            </w:r>
            <w:r>
              <w:rPr>
                <w:rFonts w:hint="eastAsia"/>
                <w:color w:val="auto"/>
                <w:highlight w:val="none"/>
                <w:lang w:val="en-US" w:eastAsia="zh-CN"/>
              </w:rPr>
              <w:t>部署</w:t>
            </w:r>
            <w:bookmarkEnd w:id="33"/>
            <w:r>
              <w:rPr>
                <w:rFonts w:hint="default" w:ascii="Times New Roman" w:hAnsi="Times New Roman" w:cs="Times New Roman"/>
                <w:color w:val="auto"/>
                <w:highlight w:val="none"/>
              </w:rPr>
              <w:t>1口</w:t>
            </w:r>
            <w:r>
              <w:rPr>
                <w:rFonts w:hint="eastAsia" w:cs="Times New Roman"/>
                <w:color w:val="auto"/>
                <w:highlight w:val="none"/>
                <w:lang w:val="en-US" w:eastAsia="zh-CN"/>
              </w:rPr>
              <w:t>评价</w:t>
            </w:r>
            <w:r>
              <w:rPr>
                <w:rFonts w:hint="default" w:ascii="Times New Roman" w:hAnsi="Times New Roman" w:cs="Times New Roman"/>
                <w:color w:val="auto"/>
                <w:highlight w:val="none"/>
              </w:rPr>
              <w:t>井</w:t>
            </w:r>
            <w:r>
              <w:rPr>
                <w:rFonts w:hint="eastAsia" w:cs="Times New Roman"/>
                <w:color w:val="auto"/>
                <w:highlight w:val="none"/>
                <w:lang w:eastAsia="zh-CN"/>
              </w:rPr>
              <w:t>，</w:t>
            </w:r>
            <w:r>
              <w:rPr>
                <w:rFonts w:hint="eastAsia" w:cs="Times New Roman"/>
                <w:color w:val="auto"/>
                <w:highlight w:val="none"/>
                <w:lang w:val="en-US" w:eastAsia="zh-CN"/>
              </w:rPr>
              <w:t>实施钻前、钻井和试油工程。部署井号为莫24H</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井深</w:t>
            </w:r>
            <w:r>
              <w:rPr>
                <w:rFonts w:hint="eastAsia" w:ascii="Times New Roman" w:hAnsi="Times New Roman" w:cs="Times New Roman"/>
                <w:color w:val="auto"/>
                <w:highlight w:val="none"/>
                <w:lang w:val="en-US" w:eastAsia="zh-CN"/>
              </w:rPr>
              <w:t>6089</w:t>
            </w:r>
            <w:r>
              <w:rPr>
                <w:rFonts w:hint="default" w:ascii="Times New Roman" w:hAnsi="Times New Roman" w:cs="Times New Roman"/>
                <w:color w:val="auto"/>
                <w:highlight w:val="none"/>
                <w:lang w:val="en-US" w:eastAsia="zh-CN"/>
              </w:rPr>
              <w:t>m，采用</w:t>
            </w:r>
            <w:r>
              <w:rPr>
                <w:rFonts w:hint="eastAsia" w:cs="Times New Roman"/>
                <w:color w:val="auto"/>
                <w:highlight w:val="none"/>
                <w:lang w:val="en-US" w:eastAsia="zh-CN"/>
              </w:rPr>
              <w:t>三</w:t>
            </w:r>
            <w:r>
              <w:rPr>
                <w:rFonts w:hint="default" w:ascii="Times New Roman" w:hAnsi="Times New Roman" w:cs="Times New Roman"/>
                <w:color w:val="auto"/>
                <w:highlight w:val="none"/>
                <w:lang w:val="en-US" w:eastAsia="zh-CN"/>
              </w:rPr>
              <w:t>开</w:t>
            </w:r>
            <w:r>
              <w:rPr>
                <w:rFonts w:hint="eastAsia" w:cs="Times New Roman"/>
                <w:color w:val="auto"/>
                <w:highlight w:val="none"/>
                <w:lang w:val="en-US" w:eastAsia="zh-CN"/>
              </w:rPr>
              <w:t>水平井</w:t>
            </w:r>
            <w:r>
              <w:rPr>
                <w:rFonts w:hint="default" w:ascii="Times New Roman" w:hAnsi="Times New Roman" w:cs="Times New Roman"/>
                <w:color w:val="auto"/>
                <w:highlight w:val="none"/>
                <w:lang w:val="en-US" w:eastAsia="zh-CN"/>
              </w:rPr>
              <w:t>井身结构。项目</w:t>
            </w:r>
            <w:r>
              <w:rPr>
                <w:rFonts w:hint="default" w:ascii="Times New Roman" w:hAnsi="Times New Roman" w:cs="Times New Roman"/>
                <w:color w:val="auto"/>
                <w:highlight w:val="none"/>
              </w:rPr>
              <w:t>工程组成情况</w:t>
            </w:r>
            <w:r>
              <w:rPr>
                <w:rFonts w:hint="default" w:ascii="Times New Roman" w:hAnsi="Times New Roman" w:cs="Times New Roman"/>
                <w:color w:val="auto"/>
                <w:highlight w:val="none"/>
                <w:lang w:val="en-US" w:eastAsia="zh-CN"/>
              </w:rPr>
              <w:t>详见</w:t>
            </w:r>
            <w:r>
              <w:rPr>
                <w:rFonts w:hint="default" w:ascii="Times New Roman" w:hAnsi="Times New Roman" w:cs="Times New Roman"/>
                <w:color w:val="auto"/>
                <w:highlight w:val="none"/>
              </w:rPr>
              <w:t>表2</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w:t>
            </w:r>
          </w:p>
          <w:bookmarkEnd w:id="34"/>
          <w:p>
            <w:pPr>
              <w:pStyle w:val="56"/>
              <w:bidi w:val="0"/>
              <w:rPr>
                <w:rFonts w:hint="eastAsia"/>
                <w:lang w:eastAsia="zh-CN"/>
              </w:rPr>
            </w:pPr>
            <w:bookmarkStart w:id="35" w:name="_Ref19637151"/>
            <w:r>
              <w:rPr>
                <w:rFonts w:hint="default"/>
              </w:rPr>
              <w:t>表</w:t>
            </w:r>
            <w:bookmarkEnd w:id="35"/>
            <w:r>
              <w:rPr>
                <w:rFonts w:hint="default"/>
                <w:lang w:val="en-US" w:eastAsia="zh-CN"/>
              </w:rPr>
              <w:t>2-</w:t>
            </w:r>
            <w:r>
              <w:rPr>
                <w:rFonts w:hint="default"/>
              </w:rPr>
              <w:t xml:space="preserve">2  </w:t>
            </w:r>
            <w:r>
              <w:rPr>
                <w:rFonts w:hint="default"/>
                <w:lang w:val="en-US" w:eastAsia="zh-CN"/>
              </w:rPr>
              <w:t>本项目</w:t>
            </w:r>
            <w:r>
              <w:rPr>
                <w:rFonts w:hint="default"/>
              </w:rPr>
              <w:t>工程组成一览表</w:t>
            </w:r>
          </w:p>
          <w:tbl>
            <w:tblPr>
              <w:tblStyle w:val="27"/>
              <w:tblW w:w="5045" w:type="pct"/>
              <w:tblInd w:w="-38"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0" w:type="dxa"/>
                <w:bottom w:w="0" w:type="dxa"/>
                <w:right w:w="0" w:type="dxa"/>
              </w:tblCellMar>
            </w:tblPr>
            <w:tblGrid>
              <w:gridCol w:w="26"/>
              <w:gridCol w:w="439"/>
              <w:gridCol w:w="433"/>
              <w:gridCol w:w="560"/>
              <w:gridCol w:w="789"/>
              <w:gridCol w:w="5632"/>
              <w:gridCol w:w="44"/>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Before w:val="1"/>
                <w:gridAfter w:val="1"/>
                <w:wBefore w:w="17" w:type="pct"/>
                <w:wAfter w:w="27" w:type="pct"/>
                <w:trHeight w:val="0" w:hRule="atLeast"/>
                <w:tblHeader/>
              </w:trPr>
              <w:tc>
                <w:tcPr>
                  <w:tcW w:w="1401" w:type="pct"/>
                  <w:gridSpan w:val="4"/>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bookmarkStart w:id="36" w:name="_Hlk176172371"/>
                  <w:r>
                    <w:rPr>
                      <w:rFonts w:hint="default" w:ascii="Times New Roman" w:hAnsi="Times New Roman" w:cs="Times New Roman"/>
                      <w:color w:val="auto"/>
                      <w:sz w:val="21"/>
                      <w:szCs w:val="21"/>
                      <w:highlight w:val="none"/>
                    </w:rPr>
                    <w:t>工程组成</w:t>
                  </w:r>
                </w:p>
              </w:tc>
              <w:tc>
                <w:tcPr>
                  <w:tcW w:w="3553" w:type="pct"/>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工程内容</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Before w:val="1"/>
                <w:gridAfter w:val="1"/>
                <w:wBefore w:w="17" w:type="pct"/>
                <w:wAfter w:w="27" w:type="pct"/>
                <w:trHeight w:val="0" w:hRule="atLeast"/>
              </w:trPr>
              <w:tc>
                <w:tcPr>
                  <w:tcW w:w="277" w:type="pct"/>
                  <w:vMerge w:val="restart"/>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主体工程</w:t>
                  </w:r>
                </w:p>
              </w:tc>
              <w:tc>
                <w:tcPr>
                  <w:tcW w:w="1124" w:type="pct"/>
                  <w:gridSpan w:val="3"/>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钻前工程</w:t>
                  </w:r>
                </w:p>
              </w:tc>
              <w:tc>
                <w:tcPr>
                  <w:tcW w:w="3553" w:type="pct"/>
                  <w:vAlign w:val="center"/>
                </w:tcPr>
                <w:p>
                  <w:pPr>
                    <w:adjustRightInd w:val="0"/>
                    <w:snapToGrid w:val="0"/>
                    <w:spacing w:line="300" w:lineRule="exact"/>
                    <w:rPr>
                      <w:rFonts w:hint="eastAsia"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井场平整、钻机基础建设、探临道路和生活营地建设以及设备进场</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Before w:val="1"/>
                <w:gridAfter w:val="1"/>
                <w:wBefore w:w="17" w:type="pct"/>
                <w:wAfter w:w="27" w:type="pct"/>
                <w:trHeight w:val="0" w:hRule="atLeast"/>
              </w:trPr>
              <w:tc>
                <w:tcPr>
                  <w:tcW w:w="277" w:type="pct"/>
                  <w:vMerge w:val="continue"/>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bookmarkStart w:id="37" w:name="_Hlk186369386"/>
                </w:p>
              </w:tc>
              <w:tc>
                <w:tcPr>
                  <w:tcW w:w="1124" w:type="pct"/>
                  <w:gridSpan w:val="3"/>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钻井工程</w:t>
                  </w:r>
                </w:p>
              </w:tc>
              <w:tc>
                <w:tcPr>
                  <w:tcW w:w="3553" w:type="pct"/>
                  <w:vAlign w:val="center"/>
                </w:tcPr>
                <w:p>
                  <w:pPr>
                    <w:adjustRightInd w:val="0"/>
                    <w:snapToGrid w:val="0"/>
                    <w:spacing w:line="300" w:lineRule="exact"/>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莫24H井</w:t>
                  </w:r>
                  <w:r>
                    <w:rPr>
                      <w:rFonts w:hint="default" w:ascii="Times New Roman" w:hAnsi="Times New Roman" w:cs="Times New Roman"/>
                      <w:color w:val="auto"/>
                      <w:sz w:val="21"/>
                      <w:szCs w:val="21"/>
                      <w:highlight w:val="none"/>
                    </w:rPr>
                    <w:t>钻井进尺为</w:t>
                  </w:r>
                  <w:r>
                    <w:rPr>
                      <w:rFonts w:hint="eastAsia" w:cs="Times New Roman"/>
                      <w:color w:val="auto"/>
                      <w:sz w:val="21"/>
                      <w:szCs w:val="21"/>
                      <w:highlight w:val="none"/>
                      <w:lang w:val="en-US" w:eastAsia="zh-CN"/>
                    </w:rPr>
                    <w:t>6089</w:t>
                  </w:r>
                  <w:r>
                    <w:rPr>
                      <w:rFonts w:hint="default" w:ascii="Times New Roman" w:hAnsi="Times New Roman" w:cs="Times New Roman"/>
                      <w:color w:val="auto"/>
                      <w:sz w:val="21"/>
                      <w:szCs w:val="21"/>
                      <w:highlight w:val="none"/>
                    </w:rPr>
                    <w:t>m，钻井期</w:t>
                  </w:r>
                  <w:r>
                    <w:rPr>
                      <w:rFonts w:hint="eastAsia" w:cs="Times New Roman"/>
                      <w:color w:val="auto"/>
                      <w:sz w:val="21"/>
                      <w:szCs w:val="21"/>
                      <w:highlight w:val="none"/>
                      <w:lang w:val="en-US" w:eastAsia="zh-CN"/>
                    </w:rPr>
                    <w:t>52</w:t>
                  </w:r>
                  <w:r>
                    <w:rPr>
                      <w:rFonts w:hint="default" w:ascii="Times New Roman" w:hAnsi="Times New Roman" w:cs="Times New Roman"/>
                      <w:color w:val="auto"/>
                      <w:sz w:val="21"/>
                      <w:szCs w:val="21"/>
                      <w:highlight w:val="none"/>
                    </w:rPr>
                    <w:t>天，施工人数为35人</w:t>
                  </w:r>
                  <w:r>
                    <w:rPr>
                      <w:rFonts w:hint="eastAsia" w:cs="Times New Roman"/>
                      <w:color w:val="auto"/>
                      <w:sz w:val="21"/>
                      <w:szCs w:val="21"/>
                      <w:highlight w:val="none"/>
                      <w:lang w:eastAsia="zh-CN"/>
                    </w:rPr>
                    <w:t>；</w:t>
                  </w:r>
                  <w:r>
                    <w:rPr>
                      <w:rFonts w:hint="eastAsia" w:cs="Times New Roman"/>
                      <w:color w:val="auto"/>
                      <w:sz w:val="21"/>
                      <w:szCs w:val="21"/>
                      <w:highlight w:val="none"/>
                      <w:lang w:val="en-US" w:eastAsia="zh-CN"/>
                    </w:rPr>
                    <w:t>一开使用水基钻井液，二开、三开使用油基钻井液</w:t>
                  </w:r>
                  <w:r>
                    <w:rPr>
                      <w:rStyle w:val="37"/>
                      <w:rFonts w:hint="eastAsia"/>
                      <w:color w:val="auto"/>
                      <w:lang w:val="en-US" w:eastAsia="zh-CN"/>
                    </w:rPr>
                    <w:t>；钻井井场面积12217m</w:t>
                  </w:r>
                  <w:r>
                    <w:rPr>
                      <w:rStyle w:val="37"/>
                      <w:rFonts w:hint="eastAsia"/>
                      <w:color w:val="auto"/>
                      <w:vertAlign w:val="superscript"/>
                      <w:lang w:val="en-US" w:eastAsia="zh-CN"/>
                    </w:rPr>
                    <w:t>2</w:t>
                  </w:r>
                </w:p>
              </w:tc>
            </w:tr>
            <w:bookmarkEnd w:id="37"/>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Before w:val="1"/>
                <w:gridAfter w:val="1"/>
                <w:wBefore w:w="17" w:type="pct"/>
                <w:wAfter w:w="27" w:type="pct"/>
                <w:trHeight w:val="0" w:hRule="atLeast"/>
              </w:trPr>
              <w:tc>
                <w:tcPr>
                  <w:tcW w:w="277" w:type="pct"/>
                  <w:vMerge w:val="continue"/>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1124" w:type="pct"/>
                  <w:gridSpan w:val="3"/>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试油工程</w:t>
                  </w:r>
                </w:p>
              </w:tc>
              <w:tc>
                <w:tcPr>
                  <w:tcW w:w="3553" w:type="pct"/>
                  <w:vAlign w:val="center"/>
                </w:tcPr>
                <w:p>
                  <w:pPr>
                    <w:adjustRightInd w:val="0"/>
                    <w:snapToGrid w:val="0"/>
                    <w:spacing w:line="300" w:lineRule="exac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开展</w:t>
                  </w:r>
                  <w:r>
                    <w:rPr>
                      <w:rFonts w:hint="default" w:ascii="Times New Roman" w:hAnsi="Times New Roman" w:cs="Times New Roman"/>
                      <w:color w:val="auto"/>
                      <w:sz w:val="21"/>
                      <w:szCs w:val="21"/>
                      <w:highlight w:val="none"/>
                    </w:rPr>
                    <w:t>试油准备、储层改造和试油</w:t>
                  </w:r>
                  <w:r>
                    <w:rPr>
                      <w:rFonts w:hint="default" w:ascii="Times New Roman" w:hAnsi="Times New Roman" w:cs="Times New Roman"/>
                      <w:color w:val="auto"/>
                      <w:sz w:val="21"/>
                      <w:szCs w:val="21"/>
                      <w:highlight w:val="none"/>
                      <w:lang w:val="en-US" w:eastAsia="zh-CN"/>
                    </w:rPr>
                    <w:t>工作</w:t>
                  </w:r>
                  <w:r>
                    <w:rPr>
                      <w:rFonts w:hint="default" w:ascii="Times New Roman" w:hAnsi="Times New Roman" w:cs="Times New Roman"/>
                      <w:color w:val="auto"/>
                      <w:sz w:val="21"/>
                      <w:szCs w:val="21"/>
                      <w:highlight w:val="none"/>
                    </w:rPr>
                    <w:t>，其中试油准备包括通井、洗井和试压工作，储层改造包括射孔和压裂；</w:t>
                  </w:r>
                  <w:r>
                    <w:rPr>
                      <w:rFonts w:hint="default" w:ascii="Times New Roman" w:hAnsi="Times New Roman" w:cs="Times New Roman"/>
                      <w:color w:val="auto"/>
                      <w:sz w:val="21"/>
                      <w:szCs w:val="21"/>
                      <w:highlight w:val="none"/>
                      <w:lang w:val="en-US" w:eastAsia="zh-CN"/>
                    </w:rPr>
                    <w:t>试油过程</w:t>
                  </w:r>
                  <w:r>
                    <w:rPr>
                      <w:rFonts w:hint="default" w:ascii="Times New Roman" w:hAnsi="Times New Roman" w:cs="Times New Roman"/>
                      <w:color w:val="auto"/>
                      <w:sz w:val="21"/>
                      <w:szCs w:val="21"/>
                      <w:highlight w:val="none"/>
                    </w:rPr>
                    <w:t>记录</w:t>
                  </w:r>
                  <w:r>
                    <w:rPr>
                      <w:rFonts w:hint="default" w:ascii="Times New Roman" w:hAnsi="Times New Roman" w:cs="Times New Roman"/>
                      <w:color w:val="auto"/>
                      <w:sz w:val="21"/>
                      <w:szCs w:val="21"/>
                      <w:highlight w:val="none"/>
                      <w:lang w:val="en-US" w:eastAsia="zh-CN"/>
                    </w:rPr>
                    <w:t>勘探参数，如温度、气压、</w:t>
                  </w:r>
                  <w:r>
                    <w:rPr>
                      <w:rFonts w:hint="default" w:ascii="Times New Roman" w:hAnsi="Times New Roman" w:cs="Times New Roman"/>
                      <w:color w:val="auto"/>
                      <w:sz w:val="21"/>
                      <w:szCs w:val="21"/>
                      <w:highlight w:val="none"/>
                    </w:rPr>
                    <w:t>油气产量；试油期为</w:t>
                  </w:r>
                  <w:r>
                    <w:rPr>
                      <w:rFonts w:hint="default" w:ascii="Times New Roman" w:hAnsi="Times New Roman" w:cs="Times New Roman"/>
                      <w:color w:val="auto"/>
                      <w:sz w:val="21"/>
                      <w:szCs w:val="21"/>
                      <w:highlight w:val="none"/>
                      <w:lang w:val="en-US" w:eastAsia="zh-CN"/>
                    </w:rPr>
                    <w:t>180</w:t>
                  </w:r>
                  <w:r>
                    <w:rPr>
                      <w:rFonts w:hint="default" w:ascii="Times New Roman" w:hAnsi="Times New Roman" w:cs="Times New Roman"/>
                      <w:color w:val="auto"/>
                      <w:sz w:val="21"/>
                      <w:szCs w:val="21"/>
                      <w:highlight w:val="none"/>
                    </w:rPr>
                    <w:t>天，施工人数为2人</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试油井场占地面积约</w:t>
                  </w:r>
                  <w:r>
                    <w:rPr>
                      <w:rFonts w:hint="default" w:ascii="Times New Roman" w:hAnsi="Times New Roman" w:eastAsia="宋体" w:cs="Times New Roman"/>
                      <w:color w:val="auto"/>
                      <w:sz w:val="21"/>
                      <w:szCs w:val="21"/>
                      <w:lang w:val="en-US" w:eastAsia="zh-CN"/>
                    </w:rPr>
                    <w:t>6108.5m</w:t>
                  </w:r>
                  <w:r>
                    <w:rPr>
                      <w:rFonts w:hint="default" w:ascii="Times New Roman" w:hAnsi="Times New Roman" w:eastAsia="宋体" w:cs="Times New Roman"/>
                      <w:color w:val="auto"/>
                      <w:sz w:val="21"/>
                      <w:szCs w:val="21"/>
                      <w:vertAlign w:val="superscript"/>
                      <w:lang w:val="en-US" w:eastAsia="zh-CN"/>
                    </w:rPr>
                    <w:t>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Before w:val="1"/>
                <w:gridAfter w:val="1"/>
                <w:wBefore w:w="17" w:type="pct"/>
                <w:wAfter w:w="27" w:type="pct"/>
                <w:trHeight w:val="0" w:hRule="atLeast"/>
              </w:trPr>
              <w:tc>
                <w:tcPr>
                  <w:tcW w:w="277" w:type="pct"/>
                  <w:vMerge w:val="continue"/>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1124" w:type="pct"/>
                  <w:gridSpan w:val="3"/>
                  <w:shd w:val="clear" w:color="auto" w:fill="auto"/>
                  <w:vAlign w:val="center"/>
                </w:tcPr>
                <w:p>
                  <w:pPr>
                    <w:adjustRightInd w:val="0"/>
                    <w:snapToGrid w:val="0"/>
                    <w:spacing w:line="300" w:lineRule="exac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完井</w:t>
                  </w:r>
                </w:p>
              </w:tc>
              <w:tc>
                <w:tcPr>
                  <w:tcW w:w="3553" w:type="pct"/>
                  <w:shd w:val="clear" w:color="auto" w:fill="auto"/>
                  <w:vAlign w:val="center"/>
                </w:tcPr>
                <w:p>
                  <w:pPr>
                    <w:adjustRightInd w:val="0"/>
                    <w:snapToGrid w:val="0"/>
                    <w:spacing w:line="300" w:lineRule="exac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根据试油结果进行关井或封井作业，最后撤去所有</w:t>
                  </w:r>
                  <w:r>
                    <w:rPr>
                      <w:rFonts w:hint="default" w:ascii="Times New Roman" w:hAnsi="Times New Roman" w:cs="Times New Roman"/>
                      <w:color w:val="auto"/>
                      <w:sz w:val="21"/>
                      <w:szCs w:val="21"/>
                      <w:highlight w:val="none"/>
                      <w:lang w:val="en-US" w:eastAsia="zh-CN"/>
                    </w:rPr>
                    <w:t>施工</w:t>
                  </w:r>
                  <w:r>
                    <w:rPr>
                      <w:rFonts w:hint="default" w:ascii="Times New Roman" w:hAnsi="Times New Roman" w:cs="Times New Roman"/>
                      <w:color w:val="auto"/>
                      <w:sz w:val="21"/>
                      <w:szCs w:val="21"/>
                      <w:highlight w:val="none"/>
                    </w:rPr>
                    <w:t>设施，清理、平整井场</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jc w:val="center"/>
              </w:trPr>
              <w:tc>
                <w:tcPr>
                  <w:tcW w:w="294" w:type="pct"/>
                  <w:gridSpan w:val="2"/>
                  <w:vMerge w:val="restart"/>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辅助工程</w:t>
                  </w:r>
                </w:p>
              </w:tc>
              <w:tc>
                <w:tcPr>
                  <w:tcW w:w="1124" w:type="pct"/>
                  <w:gridSpan w:val="3"/>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放喷设施</w:t>
                  </w:r>
                </w:p>
              </w:tc>
              <w:tc>
                <w:tcPr>
                  <w:tcW w:w="3581" w:type="pct"/>
                  <w:gridSpan w:val="2"/>
                  <w:vAlign w:val="center"/>
                </w:tcPr>
                <w:p>
                  <w:pPr>
                    <w:adjustRightInd w:val="0"/>
                    <w:snapToGrid w:val="0"/>
                    <w:spacing w:line="300" w:lineRule="exac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井场左右两侧各设置1条放喷管线，在井场一侧预留应急放喷池位置</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jc w:val="center"/>
              </w:trPr>
              <w:tc>
                <w:tcPr>
                  <w:tcW w:w="294" w:type="pct"/>
                  <w:gridSpan w:val="2"/>
                  <w:vMerge w:val="continue"/>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1124" w:type="pct"/>
                  <w:gridSpan w:val="3"/>
                  <w:shd w:val="clear" w:color="auto" w:fill="auto"/>
                  <w:vAlign w:val="center"/>
                </w:tcPr>
                <w:p>
                  <w:pPr>
                    <w:adjustRightInd w:val="0"/>
                    <w:snapToGrid w:val="0"/>
                    <w:spacing w:line="30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eastAsia="zh-CN"/>
                    </w:rPr>
                    <w:t>探临道路</w:t>
                  </w:r>
                </w:p>
              </w:tc>
              <w:tc>
                <w:tcPr>
                  <w:tcW w:w="3581" w:type="pct"/>
                  <w:gridSpan w:val="2"/>
                  <w:shd w:val="clear" w:color="auto" w:fill="auto"/>
                  <w:vAlign w:val="center"/>
                </w:tcPr>
                <w:p>
                  <w:pPr>
                    <w:adjustRightInd w:val="0"/>
                    <w:snapToGrid w:val="0"/>
                    <w:spacing w:line="300" w:lineRule="exac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新建井场探临道路</w:t>
                  </w:r>
                  <w:r>
                    <w:rPr>
                      <w:rFonts w:hint="eastAsia" w:cs="Times New Roman"/>
                      <w:color w:val="auto"/>
                      <w:sz w:val="21"/>
                      <w:szCs w:val="21"/>
                      <w:highlight w:val="none"/>
                      <w:lang w:val="en-US" w:eastAsia="zh-CN"/>
                    </w:rPr>
                    <w:t>177</w:t>
                  </w:r>
                  <w:r>
                    <w:rPr>
                      <w:rFonts w:hint="default" w:ascii="Times New Roman" w:hAnsi="Times New Roman" w:cs="Times New Roman"/>
                      <w:color w:val="auto"/>
                      <w:sz w:val="21"/>
                      <w:szCs w:val="21"/>
                      <w:highlight w:val="none"/>
                    </w:rPr>
                    <w:t>m、宽度9m</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采用砂石路面</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jc w:val="center"/>
              </w:trPr>
              <w:tc>
                <w:tcPr>
                  <w:tcW w:w="294" w:type="pct"/>
                  <w:gridSpan w:val="2"/>
                  <w:vMerge w:val="restart"/>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公用工程</w:t>
                  </w:r>
                </w:p>
              </w:tc>
              <w:tc>
                <w:tcPr>
                  <w:tcW w:w="1124" w:type="pct"/>
                  <w:gridSpan w:val="3"/>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供配电</w:t>
                  </w:r>
                </w:p>
              </w:tc>
              <w:tc>
                <w:tcPr>
                  <w:tcW w:w="3581" w:type="pct"/>
                  <w:gridSpan w:val="2"/>
                  <w:vAlign w:val="center"/>
                </w:tcPr>
                <w:p>
                  <w:pPr>
                    <w:adjustRightInd w:val="0"/>
                    <w:snapToGrid w:val="0"/>
                    <w:spacing w:line="300" w:lineRule="exact"/>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井场用电由柴油发电机供给；外购柴油由罐车拉运至井场，井场设置</w:t>
                  </w:r>
                  <w:r>
                    <w:rPr>
                      <w:rFonts w:hint="eastAsia" w:ascii="Times New Roman" w:hAnsi="Times New Roman" w:cs="Times New Roman"/>
                      <w:color w:val="auto"/>
                      <w:sz w:val="21"/>
                      <w:szCs w:val="21"/>
                      <w:highlight w:val="none"/>
                      <w:lang w:val="en-US" w:eastAsia="zh-CN"/>
                    </w:rPr>
                    <w:t>一处</w:t>
                  </w:r>
                  <w:r>
                    <w:rPr>
                      <w:rFonts w:hint="default" w:ascii="Times New Roman" w:hAnsi="Times New Roman" w:cs="Times New Roman"/>
                      <w:color w:val="auto"/>
                      <w:sz w:val="21"/>
                      <w:szCs w:val="21"/>
                      <w:highlight w:val="none"/>
                    </w:rPr>
                    <w:t>柴油储罐区，</w:t>
                  </w:r>
                  <w:r>
                    <w:rPr>
                      <w:rFonts w:hint="eastAsia" w:ascii="Times New Roman" w:hAnsi="Times New Roman" w:cs="Times New Roman"/>
                      <w:color w:val="auto"/>
                      <w:sz w:val="21"/>
                      <w:szCs w:val="21"/>
                      <w:highlight w:val="none"/>
                      <w:lang w:val="en-US" w:eastAsia="zh-CN"/>
                    </w:rPr>
                    <w:t>使用</w:t>
                  </w:r>
                  <w:r>
                    <w:rPr>
                      <w:rFonts w:hint="eastAsia" w:cs="Times New Roman"/>
                      <w:color w:val="auto"/>
                      <w:sz w:val="21"/>
                      <w:szCs w:val="21"/>
                      <w:highlight w:val="none"/>
                      <w:lang w:val="en-US" w:eastAsia="zh-CN"/>
                    </w:rPr>
                    <w:t>1</w:t>
                  </w:r>
                  <w:r>
                    <w:rPr>
                      <w:rFonts w:hint="default" w:ascii="Times New Roman" w:hAnsi="Times New Roman" w:cs="Times New Roman"/>
                      <w:color w:val="auto"/>
                      <w:sz w:val="21"/>
                      <w:szCs w:val="21"/>
                      <w:highlight w:val="none"/>
                    </w:rPr>
                    <w:t>座30m</w:t>
                  </w:r>
                  <w:r>
                    <w:rPr>
                      <w:rFonts w:hint="default" w:ascii="Times New Roman" w:hAnsi="Times New Roman" w:cs="Times New Roman"/>
                      <w:color w:val="auto"/>
                      <w:sz w:val="21"/>
                      <w:szCs w:val="21"/>
                      <w:highlight w:val="none"/>
                      <w:vertAlign w:val="superscript"/>
                    </w:rPr>
                    <w:t>3</w:t>
                  </w:r>
                  <w:r>
                    <w:rPr>
                      <w:rFonts w:hint="default" w:ascii="Times New Roman" w:hAnsi="Times New Roman" w:cs="Times New Roman"/>
                      <w:color w:val="auto"/>
                      <w:sz w:val="21"/>
                      <w:szCs w:val="21"/>
                      <w:highlight w:val="none"/>
                    </w:rPr>
                    <w:t>柴油储罐储备柴油</w:t>
                  </w:r>
                  <w:r>
                    <w:rPr>
                      <w:rFonts w:hint="eastAsia" w:ascii="Times New Roman" w:hAnsi="Times New Roman" w:cs="Times New Roman"/>
                      <w:color w:val="auto"/>
                      <w:sz w:val="21"/>
                      <w:szCs w:val="21"/>
                      <w:highlight w:val="none"/>
                      <w:lang w:eastAsia="zh-CN"/>
                    </w:rPr>
                    <w:t>，</w:t>
                  </w:r>
                  <w:r>
                    <w:rPr>
                      <w:rFonts w:hint="eastAsia" w:ascii="Times New Roman" w:hAnsi="Times New Roman" w:cs="Times New Roman"/>
                      <w:color w:val="auto"/>
                      <w:sz w:val="21"/>
                      <w:szCs w:val="21"/>
                      <w:highlight w:val="none"/>
                      <w:lang w:val="en-US" w:eastAsia="zh-CN"/>
                    </w:rPr>
                    <w:t>日常储量</w:t>
                  </w:r>
                  <w:r>
                    <w:rPr>
                      <w:rFonts w:hint="default" w:ascii="Times New Roman" w:hAnsi="Times New Roman" w:cs="Times New Roman"/>
                      <w:color w:val="auto"/>
                      <w:sz w:val="21"/>
                      <w:szCs w:val="21"/>
                      <w:highlight w:val="none"/>
                    </w:rPr>
                    <w:t>2</w:t>
                  </w:r>
                  <w:r>
                    <w:rPr>
                      <w:rFonts w:hint="default" w:ascii="Times New Roman" w:hAnsi="Times New Roman" w:cs="Times New Roman"/>
                      <w:color w:val="auto"/>
                      <w:sz w:val="21"/>
                      <w:szCs w:val="21"/>
                      <w:highlight w:val="none"/>
                      <w:lang w:val="en-US" w:eastAsia="zh-CN"/>
                    </w:rPr>
                    <w:t>0</w:t>
                  </w:r>
                  <w:r>
                    <w:rPr>
                      <w:rFonts w:hint="default" w:ascii="Times New Roman" w:hAnsi="Times New Roman" w:cs="Times New Roman"/>
                      <w:color w:val="auto"/>
                      <w:sz w:val="21"/>
                      <w:szCs w:val="21"/>
                      <w:highlight w:val="none"/>
                    </w:rPr>
                    <w:t>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jc w:val="center"/>
              </w:trPr>
              <w:tc>
                <w:tcPr>
                  <w:tcW w:w="294" w:type="pct"/>
                  <w:gridSpan w:val="2"/>
                  <w:vMerge w:val="continue"/>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1124" w:type="pct"/>
                  <w:gridSpan w:val="3"/>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给排水</w:t>
                  </w:r>
                </w:p>
              </w:tc>
              <w:tc>
                <w:tcPr>
                  <w:tcW w:w="3581" w:type="pct"/>
                  <w:gridSpan w:val="2"/>
                  <w:vAlign w:val="center"/>
                </w:tcPr>
                <w:p>
                  <w:pPr>
                    <w:pStyle w:val="35"/>
                    <w:bidi w:val="0"/>
                    <w:spacing w:line="240" w:lineRule="auto"/>
                    <w:rPr>
                      <w:rFonts w:hint="default" w:ascii="Times New Roman" w:hAnsi="Times New Roman" w:eastAsia="宋体" w:cs="Times New Roman"/>
                      <w:color w:val="auto"/>
                      <w:szCs w:val="21"/>
                      <w:highlight w:val="none"/>
                      <w:lang w:eastAsia="zh-CN"/>
                    </w:rPr>
                  </w:pPr>
                  <w:r>
                    <w:rPr>
                      <w:rFonts w:hint="default"/>
                      <w:color w:val="auto"/>
                      <w:highlight w:val="none"/>
                    </w:rPr>
                    <w:t>施工期用水主要为洗井用水和生活用水，从</w:t>
                  </w:r>
                  <w:bookmarkStart w:id="38" w:name="OLE_LINK68"/>
                  <w:r>
                    <w:rPr>
                      <w:rFonts w:hint="default"/>
                      <w:color w:val="auto"/>
                      <w:highlight w:val="none"/>
                    </w:rPr>
                    <w:t>石西作业区供水点</w:t>
                  </w:r>
                  <w:bookmarkEnd w:id="38"/>
                  <w:r>
                    <w:rPr>
                      <w:rFonts w:hint="default"/>
                      <w:color w:val="auto"/>
                      <w:highlight w:val="none"/>
                    </w:rPr>
                    <w:t>由罐车拉运至井场；洗井废水和压裂返排液</w:t>
                  </w:r>
                  <w:r>
                    <w:rPr>
                      <w:rFonts w:hint="default"/>
                      <w:color w:val="auto"/>
                      <w:highlight w:val="none"/>
                      <w:lang w:val="en-US" w:eastAsia="zh-CN"/>
                    </w:rPr>
                    <w:t>设置</w:t>
                  </w:r>
                  <w:r>
                    <w:rPr>
                      <w:rFonts w:hint="default"/>
                      <w:color w:val="auto"/>
                      <w:highlight w:val="none"/>
                    </w:rPr>
                    <w:t>试油废水储罐</w:t>
                  </w:r>
                  <w:r>
                    <w:rPr>
                      <w:rFonts w:hint="default"/>
                      <w:color w:val="auto"/>
                      <w:highlight w:val="none"/>
                      <w:lang w:val="en-US" w:eastAsia="zh-CN"/>
                    </w:rPr>
                    <w:t>储存</w:t>
                  </w:r>
                  <w:r>
                    <w:rPr>
                      <w:rFonts w:hint="default"/>
                      <w:color w:val="auto"/>
                      <w:highlight w:val="none"/>
                    </w:rPr>
                    <w:t>；生活污水</w:t>
                  </w:r>
                  <w:r>
                    <w:rPr>
                      <w:rFonts w:hint="default"/>
                      <w:color w:val="auto"/>
                      <w:highlight w:val="none"/>
                      <w:lang w:val="en-US" w:eastAsia="zh-CN"/>
                    </w:rPr>
                    <w:t>通过</w:t>
                  </w:r>
                  <w:r>
                    <w:rPr>
                      <w:rFonts w:hint="default"/>
                      <w:color w:val="auto"/>
                      <w:highlight w:val="none"/>
                    </w:rPr>
                    <w:t>生活营地临时</w:t>
                  </w:r>
                  <w:r>
                    <w:rPr>
                      <w:rFonts w:hint="eastAsia"/>
                      <w:color w:val="auto"/>
                      <w:highlight w:val="none"/>
                      <w:lang w:eastAsia="zh-CN"/>
                    </w:rPr>
                    <w:t>防渗储集池</w:t>
                  </w:r>
                  <w:r>
                    <w:rPr>
                      <w:rFonts w:hint="default"/>
                      <w:color w:val="auto"/>
                      <w:highlight w:val="none"/>
                    </w:rPr>
                    <w:t>暂存</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jc w:val="center"/>
              </w:trPr>
              <w:tc>
                <w:tcPr>
                  <w:tcW w:w="294" w:type="pct"/>
                  <w:gridSpan w:val="2"/>
                  <w:vMerge w:val="restart"/>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环保工程</w:t>
                  </w:r>
                </w:p>
              </w:tc>
              <w:tc>
                <w:tcPr>
                  <w:tcW w:w="273" w:type="pct"/>
                  <w:vMerge w:val="restart"/>
                  <w:tcBorders>
                    <w:right w:val="single" w:color="auto" w:sz="4" w:space="0"/>
                  </w:tcBorders>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废气</w:t>
                  </w:r>
                </w:p>
              </w:tc>
              <w:tc>
                <w:tcPr>
                  <w:tcW w:w="851" w:type="pct"/>
                  <w:gridSpan w:val="2"/>
                  <w:tcBorders>
                    <w:left w:val="single" w:color="auto" w:sz="4" w:space="0"/>
                  </w:tcBorders>
                  <w:shd w:val="clear" w:color="auto" w:fill="auto"/>
                  <w:vAlign w:val="center"/>
                </w:tcPr>
                <w:p>
                  <w:pPr>
                    <w:adjustRightInd w:val="0"/>
                    <w:snapToGrid w:val="0"/>
                    <w:spacing w:line="300" w:lineRule="exac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施工扬尘</w:t>
                  </w:r>
                </w:p>
              </w:tc>
              <w:tc>
                <w:tcPr>
                  <w:tcW w:w="3581" w:type="pct"/>
                  <w:gridSpan w:val="2"/>
                  <w:shd w:val="clear" w:color="auto" w:fill="auto"/>
                  <w:vAlign w:val="center"/>
                </w:tcPr>
                <w:p>
                  <w:pPr>
                    <w:adjustRightInd w:val="0"/>
                    <w:snapToGrid w:val="0"/>
                    <w:spacing w:line="300" w:lineRule="exact"/>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场地铺设砂砾石硬化、</w:t>
                  </w:r>
                  <w:r>
                    <w:rPr>
                      <w:rFonts w:hint="default" w:ascii="Times New Roman" w:hAnsi="Times New Roman" w:cs="Times New Roman"/>
                      <w:color w:val="auto"/>
                      <w:sz w:val="21"/>
                      <w:szCs w:val="21"/>
                      <w:highlight w:val="none"/>
                    </w:rPr>
                    <w:t>对易起尘物料</w:t>
                  </w:r>
                  <w:r>
                    <w:rPr>
                      <w:rFonts w:hint="eastAsia" w:cs="Times New Roman"/>
                      <w:color w:val="auto"/>
                      <w:sz w:val="21"/>
                      <w:szCs w:val="21"/>
                      <w:highlight w:val="none"/>
                      <w:lang w:val="en-US" w:eastAsia="zh-CN"/>
                    </w:rPr>
                    <w:t>使用防尘网或防彩条布进行遮盖</w:t>
                  </w:r>
                  <w:r>
                    <w:rPr>
                      <w:rFonts w:hint="default" w:ascii="Times New Roman" w:hAnsi="Times New Roman" w:cs="Times New Roman"/>
                      <w:color w:val="auto"/>
                      <w:sz w:val="21"/>
                      <w:szCs w:val="21"/>
                      <w:highlight w:val="none"/>
                    </w:rPr>
                    <w:t>；加强车辆管理等措施；钻井岩屑暂存于</w:t>
                  </w:r>
                  <w:r>
                    <w:rPr>
                      <w:rFonts w:hint="eastAsia" w:cs="Times New Roman"/>
                      <w:color w:val="auto"/>
                      <w:sz w:val="21"/>
                      <w:szCs w:val="21"/>
                      <w:highlight w:val="none"/>
                      <w:lang w:val="en-US" w:eastAsia="zh-CN"/>
                    </w:rPr>
                    <w:t>储罐</w:t>
                  </w:r>
                  <w:r>
                    <w:rPr>
                      <w:rFonts w:hint="default" w:ascii="Times New Roman" w:hAnsi="Times New Roman" w:cs="Times New Roman"/>
                      <w:color w:val="auto"/>
                      <w:sz w:val="21"/>
                      <w:szCs w:val="21"/>
                      <w:highlight w:val="none"/>
                    </w:rPr>
                    <w:t>中，及时清运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jc w:val="center"/>
              </w:trPr>
              <w:tc>
                <w:tcPr>
                  <w:tcW w:w="294" w:type="pct"/>
                  <w:gridSpan w:val="2"/>
                  <w:vMerge w:val="continue"/>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273" w:type="pct"/>
                  <w:vMerge w:val="continue"/>
                  <w:tcBorders>
                    <w:right w:val="single" w:color="auto" w:sz="4" w:space="0"/>
                  </w:tcBorders>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851" w:type="pct"/>
                  <w:gridSpan w:val="2"/>
                  <w:tcBorders>
                    <w:left w:val="single" w:color="auto" w:sz="4" w:space="0"/>
                  </w:tcBorders>
                  <w:vAlign w:val="center"/>
                </w:tcPr>
                <w:p>
                  <w:pPr>
                    <w:adjustRightInd w:val="0"/>
                    <w:snapToGrid w:val="0"/>
                    <w:spacing w:line="300" w:lineRule="exact"/>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柴油机废气</w:t>
                  </w:r>
                </w:p>
              </w:tc>
              <w:tc>
                <w:tcPr>
                  <w:tcW w:w="3581" w:type="pct"/>
                  <w:gridSpan w:val="2"/>
                  <w:vAlign w:val="center"/>
                </w:tcPr>
                <w:p>
                  <w:pPr>
                    <w:adjustRightInd w:val="0"/>
                    <w:snapToGrid w:val="0"/>
                    <w:spacing w:line="300" w:lineRule="exac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使用</w:t>
                  </w:r>
                  <w:r>
                    <w:rPr>
                      <w:rFonts w:hint="eastAsia" w:cs="Times New Roman"/>
                      <w:color w:val="auto"/>
                      <w:sz w:val="21"/>
                      <w:szCs w:val="21"/>
                      <w:highlight w:val="none"/>
                      <w:lang w:val="en-US" w:eastAsia="zh-CN"/>
                    </w:rPr>
                    <w:t>符合国家标准的</w:t>
                  </w:r>
                  <w:r>
                    <w:rPr>
                      <w:rFonts w:hint="default" w:ascii="Times New Roman" w:hAnsi="Times New Roman" w:cs="Times New Roman"/>
                      <w:color w:val="auto"/>
                      <w:sz w:val="21"/>
                      <w:szCs w:val="21"/>
                      <w:highlight w:val="none"/>
                      <w:lang w:val="en-US" w:eastAsia="zh-CN"/>
                    </w:rPr>
                    <w:t>燃</w:t>
                  </w:r>
                  <w:r>
                    <w:rPr>
                      <w:rFonts w:hint="eastAsia" w:cs="Times New Roman"/>
                      <w:color w:val="auto"/>
                      <w:sz w:val="21"/>
                      <w:szCs w:val="21"/>
                      <w:highlight w:val="none"/>
                      <w:lang w:val="en-US" w:eastAsia="zh-CN"/>
                    </w:rPr>
                    <w:t>油和机械设备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jc w:val="center"/>
              </w:trPr>
              <w:tc>
                <w:tcPr>
                  <w:tcW w:w="294" w:type="pct"/>
                  <w:gridSpan w:val="2"/>
                  <w:vMerge w:val="continue"/>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273" w:type="pct"/>
                  <w:vMerge w:val="continue"/>
                  <w:tcBorders>
                    <w:right w:val="single" w:color="auto" w:sz="4" w:space="0"/>
                  </w:tcBorders>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851" w:type="pct"/>
                  <w:gridSpan w:val="2"/>
                  <w:tcBorders>
                    <w:left w:val="single" w:color="auto" w:sz="4" w:space="0"/>
                  </w:tcBorders>
                  <w:vAlign w:val="center"/>
                </w:tcPr>
                <w:p>
                  <w:pPr>
                    <w:adjustRightInd w:val="0"/>
                    <w:snapToGrid w:val="0"/>
                    <w:spacing w:line="300" w:lineRule="exact"/>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施工机械</w:t>
                  </w:r>
                  <w:r>
                    <w:rPr>
                      <w:rFonts w:hint="eastAsia"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车辆尾气</w:t>
                  </w:r>
                </w:p>
              </w:tc>
              <w:tc>
                <w:tcPr>
                  <w:tcW w:w="3581" w:type="pct"/>
                  <w:gridSpan w:val="2"/>
                  <w:vAlign w:val="center"/>
                </w:tcPr>
                <w:p>
                  <w:pPr>
                    <w:adjustRightInd w:val="0"/>
                    <w:snapToGrid w:val="0"/>
                    <w:spacing w:line="300" w:lineRule="exac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使用</w:t>
                  </w:r>
                  <w:r>
                    <w:rPr>
                      <w:rFonts w:hint="eastAsia" w:cs="Times New Roman"/>
                      <w:color w:val="auto"/>
                      <w:sz w:val="21"/>
                      <w:szCs w:val="21"/>
                      <w:highlight w:val="none"/>
                      <w:lang w:val="en-US" w:eastAsia="zh-CN"/>
                    </w:rPr>
                    <w:t>符合国家标准的</w:t>
                  </w:r>
                  <w:r>
                    <w:rPr>
                      <w:rFonts w:hint="default" w:ascii="Times New Roman" w:hAnsi="Times New Roman" w:cs="Times New Roman"/>
                      <w:color w:val="auto"/>
                      <w:sz w:val="21"/>
                      <w:szCs w:val="21"/>
                      <w:highlight w:val="none"/>
                      <w:lang w:val="en-US" w:eastAsia="zh-CN"/>
                    </w:rPr>
                    <w:t>燃</w:t>
                  </w:r>
                  <w:r>
                    <w:rPr>
                      <w:rFonts w:hint="eastAsia" w:cs="Times New Roman"/>
                      <w:color w:val="auto"/>
                      <w:sz w:val="21"/>
                      <w:szCs w:val="21"/>
                      <w:highlight w:val="none"/>
                      <w:lang w:val="en-US" w:eastAsia="zh-CN"/>
                    </w:rPr>
                    <w:t>油和机械设备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jc w:val="center"/>
              </w:trPr>
              <w:tc>
                <w:tcPr>
                  <w:tcW w:w="294" w:type="pct"/>
                  <w:gridSpan w:val="2"/>
                  <w:vMerge w:val="continue"/>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273" w:type="pct"/>
                  <w:vMerge w:val="continue"/>
                  <w:tcBorders>
                    <w:right w:val="single" w:color="auto" w:sz="4" w:space="0"/>
                  </w:tcBorders>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851" w:type="pct"/>
                  <w:gridSpan w:val="2"/>
                  <w:tcBorders>
                    <w:left w:val="single" w:color="auto" w:sz="4" w:space="0"/>
                  </w:tcBorders>
                  <w:shd w:val="clear" w:color="auto" w:fill="auto"/>
                  <w:vAlign w:val="center"/>
                </w:tcPr>
                <w:p>
                  <w:pPr>
                    <w:adjustRightInd w:val="0"/>
                    <w:snapToGrid w:val="0"/>
                    <w:spacing w:line="300" w:lineRule="exac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伴生气</w:t>
                  </w:r>
                </w:p>
              </w:tc>
              <w:tc>
                <w:tcPr>
                  <w:tcW w:w="3581" w:type="pct"/>
                  <w:gridSpan w:val="2"/>
                  <w:shd w:val="clear" w:color="auto" w:fill="auto"/>
                  <w:vAlign w:val="center"/>
                </w:tcPr>
                <w:p>
                  <w:pPr>
                    <w:adjustRightInd w:val="0"/>
                    <w:snapToGrid w:val="0"/>
                    <w:spacing w:line="300" w:lineRule="exact"/>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排气管线出口处安装自动点火装置，放喷管线出口设有放喷罐，伴生气</w:t>
                  </w:r>
                  <w:r>
                    <w:rPr>
                      <w:rFonts w:hint="default" w:ascii="Times New Roman" w:hAnsi="Times New Roman" w:cs="Times New Roman"/>
                      <w:color w:val="auto"/>
                      <w:sz w:val="21"/>
                      <w:szCs w:val="21"/>
                      <w:highlight w:val="none"/>
                    </w:rPr>
                    <w:t>由排气管线充分燃烧后放空</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jc w:val="center"/>
              </w:trPr>
              <w:tc>
                <w:tcPr>
                  <w:tcW w:w="294" w:type="pct"/>
                  <w:gridSpan w:val="2"/>
                  <w:vMerge w:val="continue"/>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273" w:type="pct"/>
                  <w:vMerge w:val="continue"/>
                  <w:tcBorders>
                    <w:right w:val="single" w:color="auto" w:sz="4" w:space="0"/>
                  </w:tcBorders>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851" w:type="pct"/>
                  <w:gridSpan w:val="2"/>
                  <w:tcBorders>
                    <w:left w:val="single" w:color="auto" w:sz="4" w:space="0"/>
                  </w:tcBorders>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无组织挥发烃类</w:t>
                  </w:r>
                </w:p>
              </w:tc>
              <w:tc>
                <w:tcPr>
                  <w:tcW w:w="3581" w:type="pct"/>
                  <w:gridSpan w:val="2"/>
                  <w:vAlign w:val="center"/>
                </w:tcPr>
                <w:p>
                  <w:pPr>
                    <w:pStyle w:val="35"/>
                    <w:bidi w:val="0"/>
                    <w:spacing w:line="240" w:lineRule="auto"/>
                    <w:rPr>
                      <w:rFonts w:hint="default" w:ascii="Times New Roman" w:hAnsi="Times New Roman" w:eastAsia="宋体" w:cs="Times New Roman"/>
                      <w:color w:val="auto"/>
                      <w:szCs w:val="21"/>
                      <w:highlight w:val="none"/>
                      <w:lang w:eastAsia="zh-CN"/>
                    </w:rPr>
                  </w:pPr>
                  <w:r>
                    <w:rPr>
                      <w:rFonts w:hint="default"/>
                      <w:color w:val="auto"/>
                      <w:highlight w:val="none"/>
                      <w:lang w:val="en-US" w:eastAsia="zh-CN"/>
                    </w:rPr>
                    <w:t>采出液</w:t>
                  </w:r>
                  <w:r>
                    <w:rPr>
                      <w:rFonts w:hint="default"/>
                      <w:color w:val="auto"/>
                      <w:highlight w:val="none"/>
                    </w:rPr>
                    <w:t>采取密闭装载方式；柴油储罐</w:t>
                  </w:r>
                  <w:r>
                    <w:rPr>
                      <w:rFonts w:hint="default"/>
                      <w:color w:val="auto"/>
                      <w:highlight w:val="none"/>
                      <w:lang w:val="en-US" w:eastAsia="zh-CN"/>
                    </w:rPr>
                    <w:t>密闭</w:t>
                  </w:r>
                  <w:r>
                    <w:rPr>
                      <w:rFonts w:hint="default"/>
                      <w:color w:val="auto"/>
                      <w:highlight w:val="none"/>
                    </w:rPr>
                    <w:t>，罐体保持完好</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jc w:val="center"/>
              </w:trPr>
              <w:tc>
                <w:tcPr>
                  <w:tcW w:w="294" w:type="pct"/>
                  <w:gridSpan w:val="2"/>
                  <w:vMerge w:val="continue"/>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273" w:type="pct"/>
                  <w:vMerge w:val="restart"/>
                  <w:tcBorders>
                    <w:right w:val="single" w:color="auto" w:sz="4" w:space="0"/>
                  </w:tcBorders>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废水</w:t>
                  </w:r>
                </w:p>
              </w:tc>
              <w:tc>
                <w:tcPr>
                  <w:tcW w:w="851" w:type="pct"/>
                  <w:gridSpan w:val="2"/>
                  <w:tcBorders>
                    <w:left w:val="single" w:color="auto" w:sz="4" w:space="0"/>
                  </w:tcBorders>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生活污水</w:t>
                  </w:r>
                </w:p>
              </w:tc>
              <w:tc>
                <w:tcPr>
                  <w:tcW w:w="3581" w:type="pct"/>
                  <w:gridSpan w:val="2"/>
                  <w:vAlign w:val="center"/>
                </w:tcPr>
                <w:p>
                  <w:pPr>
                    <w:adjustRightInd w:val="0"/>
                    <w:snapToGrid w:val="0"/>
                    <w:spacing w:line="300" w:lineRule="exac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生活营地设</w:t>
                  </w:r>
                  <w:r>
                    <w:rPr>
                      <w:rFonts w:hint="default" w:ascii="Times New Roman" w:hAnsi="Times New Roman" w:cs="Times New Roman"/>
                      <w:color w:val="auto"/>
                      <w:sz w:val="21"/>
                      <w:szCs w:val="21"/>
                      <w:highlight w:val="none"/>
                      <w:lang w:val="en-US" w:eastAsia="zh-CN"/>
                    </w:rPr>
                    <w:t>有</w:t>
                  </w:r>
                  <w:r>
                    <w:rPr>
                      <w:rFonts w:hint="eastAsia" w:cs="Times New Roman"/>
                      <w:color w:val="auto"/>
                      <w:sz w:val="21"/>
                      <w:szCs w:val="21"/>
                      <w:highlight w:val="none"/>
                      <w:lang w:eastAsia="zh-CN"/>
                    </w:rPr>
                    <w:t>防渗储集池</w:t>
                  </w:r>
                  <w:r>
                    <w:rPr>
                      <w:rFonts w:hint="default" w:ascii="Times New Roman" w:hAnsi="Times New Roman" w:cs="Times New Roman"/>
                      <w:color w:val="auto"/>
                      <w:sz w:val="21"/>
                      <w:szCs w:val="21"/>
                      <w:highlight w:val="none"/>
                    </w:rPr>
                    <w:t>，</w:t>
                  </w:r>
                  <w:r>
                    <w:rPr>
                      <w:rFonts w:hint="eastAsia" w:ascii="Times New Roman" w:hAnsi="Times New Roman" w:cs="Times New Roman"/>
                      <w:color w:val="auto"/>
                      <w:sz w:val="21"/>
                      <w:szCs w:val="21"/>
                      <w:highlight w:val="none"/>
                      <w:lang w:val="en-US" w:eastAsia="zh-CN"/>
                    </w:rPr>
                    <w:t>生活污水</w:t>
                  </w:r>
                  <w:r>
                    <w:rPr>
                      <w:rFonts w:hint="default" w:ascii="Times New Roman" w:hAnsi="Times New Roman" w:cs="Times New Roman"/>
                      <w:color w:val="auto"/>
                      <w:sz w:val="21"/>
                      <w:szCs w:val="21"/>
                      <w:highlight w:val="none"/>
                    </w:rPr>
                    <w:t>定期清运至</w:t>
                  </w:r>
                  <w:r>
                    <w:rPr>
                      <w:rFonts w:hint="eastAsia" w:cs="Times New Roman"/>
                      <w:color w:val="auto"/>
                      <w:sz w:val="21"/>
                      <w:szCs w:val="21"/>
                      <w:highlight w:val="none"/>
                      <w:lang w:eastAsia="zh-CN"/>
                    </w:rPr>
                    <w:t>呼图壁县丰泉污水处理厂</w:t>
                  </w:r>
                  <w:r>
                    <w:rPr>
                      <w:rFonts w:hint="default" w:ascii="Times New Roman" w:hAnsi="Times New Roman" w:cs="Times New Roman"/>
                      <w:color w:val="auto"/>
                      <w:sz w:val="21"/>
                      <w:szCs w:val="21"/>
                      <w:highlight w:val="none"/>
                    </w:rPr>
                    <w:t>处理</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jc w:val="center"/>
              </w:trPr>
              <w:tc>
                <w:tcPr>
                  <w:tcW w:w="294" w:type="pct"/>
                  <w:gridSpan w:val="2"/>
                  <w:vMerge w:val="continue"/>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273" w:type="pct"/>
                  <w:vMerge w:val="continue"/>
                  <w:tcBorders>
                    <w:right w:val="single" w:color="auto" w:sz="4" w:space="0"/>
                  </w:tcBorders>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851" w:type="pct"/>
                  <w:gridSpan w:val="2"/>
                  <w:tcBorders>
                    <w:left w:val="single" w:color="auto" w:sz="4" w:space="0"/>
                  </w:tcBorders>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洗井废水和压裂返排液</w:t>
                  </w:r>
                </w:p>
              </w:tc>
              <w:tc>
                <w:tcPr>
                  <w:tcW w:w="3581" w:type="pct"/>
                  <w:gridSpan w:val="2"/>
                  <w:vAlign w:val="center"/>
                </w:tcPr>
                <w:p>
                  <w:pPr>
                    <w:adjustRightInd w:val="0"/>
                    <w:snapToGrid w:val="0"/>
                    <w:spacing w:line="300" w:lineRule="exac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采用专用储罐收集后送至石西集中处理站采出水处理系统处理</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jc w:val="center"/>
              </w:trPr>
              <w:tc>
                <w:tcPr>
                  <w:tcW w:w="294" w:type="pct"/>
                  <w:gridSpan w:val="2"/>
                  <w:vMerge w:val="continue"/>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273" w:type="pct"/>
                  <w:tcBorders>
                    <w:right w:val="single" w:color="auto" w:sz="4" w:space="0"/>
                  </w:tcBorders>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噪声</w:t>
                  </w:r>
                </w:p>
              </w:tc>
              <w:tc>
                <w:tcPr>
                  <w:tcW w:w="851" w:type="pct"/>
                  <w:gridSpan w:val="2"/>
                  <w:tcBorders>
                    <w:left w:val="single" w:color="auto" w:sz="4" w:space="0"/>
                  </w:tcBorders>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施工设备</w:t>
                  </w:r>
                  <w:r>
                    <w:rPr>
                      <w:rFonts w:hint="default" w:ascii="Times New Roman" w:hAnsi="Times New Roman" w:cs="Times New Roman"/>
                      <w:color w:val="auto"/>
                      <w:sz w:val="21"/>
                      <w:szCs w:val="21"/>
                      <w:highlight w:val="none"/>
                    </w:rPr>
                    <w:t>噪声</w:t>
                  </w:r>
                </w:p>
              </w:tc>
              <w:tc>
                <w:tcPr>
                  <w:tcW w:w="3581" w:type="pct"/>
                  <w:gridSpan w:val="2"/>
                  <w:vAlign w:val="center"/>
                </w:tcPr>
                <w:p>
                  <w:pPr>
                    <w:adjustRightInd w:val="0"/>
                    <w:snapToGrid w:val="0"/>
                    <w:spacing w:line="300" w:lineRule="exac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选用低噪声设备，设备底部进行基础减震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jc w:val="center"/>
              </w:trPr>
              <w:tc>
                <w:tcPr>
                  <w:tcW w:w="294" w:type="pct"/>
                  <w:gridSpan w:val="2"/>
                  <w:vMerge w:val="continue"/>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273" w:type="pct"/>
                  <w:vMerge w:val="restart"/>
                  <w:tcBorders>
                    <w:right w:val="single" w:color="auto" w:sz="4" w:space="0"/>
                  </w:tcBorders>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固体废物</w:t>
                  </w:r>
                </w:p>
              </w:tc>
              <w:tc>
                <w:tcPr>
                  <w:tcW w:w="353" w:type="pct"/>
                  <w:vMerge w:val="restart"/>
                  <w:tcBorders>
                    <w:left w:val="single" w:color="auto" w:sz="4" w:space="0"/>
                  </w:tcBorders>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钻井岩屑</w:t>
                  </w:r>
                </w:p>
              </w:tc>
              <w:tc>
                <w:tcPr>
                  <w:tcW w:w="497" w:type="pct"/>
                  <w:tcBorders>
                    <w:left w:val="single" w:color="auto" w:sz="4" w:space="0"/>
                  </w:tcBorders>
                  <w:vAlign w:val="center"/>
                </w:tcPr>
                <w:p>
                  <w:pPr>
                    <w:adjustRightInd w:val="0"/>
                    <w:snapToGrid w:val="0"/>
                    <w:spacing w:line="300" w:lineRule="exact"/>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水基岩屑</w:t>
                  </w:r>
                </w:p>
              </w:tc>
              <w:tc>
                <w:tcPr>
                  <w:tcW w:w="3581" w:type="pct"/>
                  <w:gridSpan w:val="2"/>
                  <w:vAlign w:val="center"/>
                </w:tcPr>
                <w:p>
                  <w:pPr>
                    <w:adjustRightInd w:val="0"/>
                    <w:snapToGrid w:val="0"/>
                    <w:spacing w:line="300" w:lineRule="exact"/>
                    <w:rPr>
                      <w:rFonts w:hint="default" w:ascii="Times New Roman" w:hAnsi="Times New Roman" w:eastAsia="宋体" w:cs="Times New Roman"/>
                      <w:color w:val="auto"/>
                      <w:sz w:val="21"/>
                      <w:szCs w:val="21"/>
                      <w:highlight w:val="none"/>
                    </w:rPr>
                  </w:pPr>
                  <w:r>
                    <w:rPr>
                      <w:rFonts w:hint="eastAsia" w:ascii="宋体" w:hAnsi="宋体" w:cs="宋体"/>
                      <w:color w:val="auto"/>
                      <w:sz w:val="21"/>
                      <w:szCs w:val="21"/>
                      <w:highlight w:val="none"/>
                    </w:rPr>
                    <w:t>井场设置1套钻井液不落地设备，钻井过程中分离出的水基钻井岩屑暂存于岩屑储罐区的岩屑储罐中，最终委托岩屑处置单位进行处置</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jc w:val="center"/>
              </w:trPr>
              <w:tc>
                <w:tcPr>
                  <w:tcW w:w="294" w:type="pct"/>
                  <w:gridSpan w:val="2"/>
                  <w:vMerge w:val="continue"/>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273" w:type="pct"/>
                  <w:vMerge w:val="continue"/>
                  <w:tcBorders>
                    <w:right w:val="single" w:color="auto" w:sz="4" w:space="0"/>
                  </w:tcBorders>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353" w:type="pct"/>
                  <w:vMerge w:val="continue"/>
                  <w:tcBorders>
                    <w:left w:val="single" w:color="auto" w:sz="4" w:space="0"/>
                  </w:tcBorders>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497" w:type="pct"/>
                  <w:tcBorders>
                    <w:left w:val="single" w:color="auto" w:sz="4" w:space="0"/>
                  </w:tcBorders>
                  <w:vAlign w:val="center"/>
                </w:tcPr>
                <w:p>
                  <w:pPr>
                    <w:adjustRightInd w:val="0"/>
                    <w:snapToGrid w:val="0"/>
                    <w:spacing w:line="300" w:lineRule="exact"/>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油基岩屑</w:t>
                  </w:r>
                </w:p>
              </w:tc>
              <w:tc>
                <w:tcPr>
                  <w:tcW w:w="3581" w:type="pct"/>
                  <w:gridSpan w:val="2"/>
                  <w:vAlign w:val="center"/>
                </w:tcPr>
                <w:p>
                  <w:pPr>
                    <w:adjustRightInd w:val="0"/>
                    <w:snapToGrid w:val="0"/>
                    <w:spacing w:line="300" w:lineRule="exact"/>
                    <w:rPr>
                      <w:rFonts w:hint="default" w:ascii="宋体" w:hAnsi="宋体" w:cs="宋体"/>
                      <w:color w:val="auto"/>
                      <w:sz w:val="21"/>
                      <w:szCs w:val="21"/>
                      <w:highlight w:val="none"/>
                      <w:lang w:val="en-US"/>
                    </w:rPr>
                  </w:pPr>
                  <w:r>
                    <w:rPr>
                      <w:rFonts w:hint="eastAsia" w:ascii="宋体" w:hAnsi="宋体" w:cs="宋体"/>
                      <w:color w:val="auto"/>
                      <w:sz w:val="21"/>
                      <w:szCs w:val="21"/>
                      <w:highlight w:val="none"/>
                    </w:rPr>
                    <w:t>井场设置1套钻井液不落地设备，钻井过程中分离出的油基岩屑暂存于油基岩屑专用储罐，储罐下方采用防渗膜防渗，</w:t>
                  </w:r>
                  <w:r>
                    <w:rPr>
                      <w:rFonts w:hint="eastAsia" w:ascii="宋体" w:hAnsi="宋体" w:cs="宋体"/>
                      <w:color w:val="auto"/>
                      <w:sz w:val="21"/>
                      <w:szCs w:val="21"/>
                      <w:highlight w:val="none"/>
                      <w:lang w:val="en-US" w:eastAsia="zh-CN"/>
                    </w:rPr>
                    <w:t>设置围堰；岩屑</w:t>
                  </w:r>
                  <w:r>
                    <w:rPr>
                      <w:rFonts w:hint="eastAsia" w:ascii="Times New Roman" w:hAnsi="Times New Roman" w:cs="Times New Roman"/>
                      <w:color w:val="auto"/>
                      <w:sz w:val="21"/>
                      <w:szCs w:val="21"/>
                      <w:highlight w:val="none"/>
                      <w:lang w:val="en-US" w:eastAsia="zh-CN"/>
                    </w:rPr>
                    <w:t>委托具有相应</w:t>
                  </w:r>
                  <w:r>
                    <w:rPr>
                      <w:rFonts w:hint="default" w:ascii="Times New Roman" w:hAnsi="Times New Roman" w:cs="Times New Roman"/>
                      <w:color w:val="auto"/>
                      <w:sz w:val="21"/>
                      <w:szCs w:val="21"/>
                      <w:highlight w:val="none"/>
                      <w:lang w:val="en-US" w:eastAsia="zh-CN"/>
                    </w:rPr>
                    <w:t>危废资质单位</w:t>
                  </w:r>
                  <w:r>
                    <w:rPr>
                      <w:rFonts w:hint="eastAsia" w:ascii="Times New Roman" w:hAnsi="Times New Roman" w:cs="Times New Roman"/>
                      <w:color w:val="auto"/>
                      <w:sz w:val="21"/>
                      <w:szCs w:val="21"/>
                      <w:highlight w:val="none"/>
                      <w:lang w:val="en-US" w:eastAsia="zh-CN"/>
                    </w:rPr>
                    <w:t>转运、处置</w:t>
                  </w:r>
                </w:p>
              </w:tc>
            </w:tr>
          </w:tbl>
          <w:p/>
          <w:tbl>
            <w:tblPr>
              <w:tblStyle w:val="27"/>
              <w:tblW w:w="7921"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0" w:type="dxa"/>
                <w:bottom w:w="0" w:type="dxa"/>
                <w:right w:w="0" w:type="dxa"/>
              </w:tblCellMar>
            </w:tblPr>
            <w:tblGrid>
              <w:gridCol w:w="465"/>
              <w:gridCol w:w="433"/>
              <w:gridCol w:w="1347"/>
              <w:gridCol w:w="5630"/>
              <w:gridCol w:w="46"/>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jc w:val="center"/>
              </w:trPr>
              <w:tc>
                <w:tcPr>
                  <w:tcW w:w="2245" w:type="dxa"/>
                  <w:gridSpan w:val="3"/>
                  <w:vAlign w:val="center"/>
                </w:tcPr>
                <w:p>
                  <w:pPr>
                    <w:adjustRightInd w:val="0"/>
                    <w:snapToGrid w:val="0"/>
                    <w:spacing w:line="300" w:lineRule="exact"/>
                    <w:jc w:val="center"/>
                    <w:rPr>
                      <w:rFonts w:hint="eastAsia" w:ascii="宋体" w:hAnsi="宋体" w:cs="宋体"/>
                      <w:color w:val="auto"/>
                      <w:sz w:val="21"/>
                      <w:szCs w:val="21"/>
                      <w:highlight w:val="none"/>
                    </w:rPr>
                  </w:pPr>
                  <w:r>
                    <w:rPr>
                      <w:rFonts w:hint="default" w:ascii="Times New Roman" w:hAnsi="Times New Roman" w:cs="Times New Roman"/>
                      <w:color w:val="auto"/>
                      <w:sz w:val="21"/>
                      <w:szCs w:val="21"/>
                      <w:highlight w:val="none"/>
                    </w:rPr>
                    <w:t>工程组成</w:t>
                  </w:r>
                </w:p>
              </w:tc>
              <w:tc>
                <w:tcPr>
                  <w:tcW w:w="5676" w:type="dxa"/>
                  <w:gridSpan w:val="2"/>
                  <w:vAlign w:val="center"/>
                </w:tcPr>
                <w:p>
                  <w:pPr>
                    <w:adjustRightInd w:val="0"/>
                    <w:snapToGrid w:val="0"/>
                    <w:spacing w:line="300" w:lineRule="exact"/>
                    <w:jc w:val="center"/>
                    <w:rPr>
                      <w:rFonts w:hint="eastAsia" w:ascii="宋体" w:hAnsi="宋体" w:cs="宋体"/>
                      <w:color w:val="auto"/>
                      <w:spacing w:val="-4"/>
                      <w:sz w:val="21"/>
                      <w:szCs w:val="21"/>
                      <w:highlight w:val="none"/>
                    </w:rPr>
                  </w:pPr>
                  <w:r>
                    <w:rPr>
                      <w:rFonts w:hint="default" w:ascii="Times New Roman" w:hAnsi="Times New Roman" w:cs="Times New Roman"/>
                      <w:color w:val="auto"/>
                      <w:sz w:val="21"/>
                      <w:szCs w:val="21"/>
                      <w:highlight w:val="none"/>
                    </w:rPr>
                    <w:t>工程内容</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jc w:val="center"/>
              </w:trPr>
              <w:tc>
                <w:tcPr>
                  <w:tcW w:w="465" w:type="dxa"/>
                  <w:vMerge w:val="restart"/>
                  <w:vAlign w:val="center"/>
                </w:tcPr>
                <w:p>
                  <w:pPr>
                    <w:adjustRightInd w:val="0"/>
                    <w:snapToGrid w:val="0"/>
                    <w:spacing w:line="300" w:lineRule="exac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环保工程</w:t>
                  </w:r>
                </w:p>
              </w:tc>
              <w:tc>
                <w:tcPr>
                  <w:tcW w:w="433" w:type="dxa"/>
                  <w:vMerge w:val="restart"/>
                  <w:tcBorders>
                    <w:right w:val="single" w:color="auto" w:sz="4" w:space="0"/>
                  </w:tcBorders>
                  <w:vAlign w:val="center"/>
                </w:tcPr>
                <w:p>
                  <w:pPr>
                    <w:adjustRightInd w:val="0"/>
                    <w:snapToGrid w:val="0"/>
                    <w:spacing w:line="300" w:lineRule="exac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固体废物</w:t>
                  </w:r>
                </w:p>
              </w:tc>
              <w:tc>
                <w:tcPr>
                  <w:tcW w:w="1347" w:type="dxa"/>
                  <w:tcBorders>
                    <w:left w:val="single" w:color="auto" w:sz="4" w:space="0"/>
                  </w:tcBorders>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eastAsia" w:ascii="宋体" w:hAnsi="宋体" w:cs="宋体"/>
                      <w:color w:val="auto"/>
                      <w:sz w:val="21"/>
                      <w:szCs w:val="21"/>
                      <w:highlight w:val="none"/>
                    </w:rPr>
                    <w:t>废防渗材料</w:t>
                  </w:r>
                </w:p>
              </w:tc>
              <w:tc>
                <w:tcPr>
                  <w:tcW w:w="5676" w:type="dxa"/>
                  <w:gridSpan w:val="2"/>
                  <w:vAlign w:val="center"/>
                </w:tcPr>
                <w:p>
                  <w:pPr>
                    <w:adjustRightInd w:val="0"/>
                    <w:snapToGrid w:val="0"/>
                    <w:spacing w:line="300" w:lineRule="exact"/>
                    <w:rPr>
                      <w:rFonts w:hint="default" w:ascii="Times New Roman" w:hAnsi="Times New Roman" w:cs="Times New Roman"/>
                      <w:color w:val="auto"/>
                      <w:sz w:val="21"/>
                      <w:szCs w:val="21"/>
                      <w:highlight w:val="none"/>
                    </w:rPr>
                  </w:pPr>
                  <w:r>
                    <w:rPr>
                      <w:rFonts w:hint="eastAsia" w:ascii="宋体" w:hAnsi="宋体" w:cs="宋体"/>
                      <w:color w:val="auto"/>
                      <w:spacing w:val="-4"/>
                      <w:sz w:val="21"/>
                      <w:szCs w:val="21"/>
                      <w:highlight w:val="none"/>
                    </w:rPr>
                    <w:t>施工结束后产生的未沾油的防渗材料由施工单位集中回收利用，沾油废防渗材料属于危险废物，在井场危废</w:t>
                  </w:r>
                  <w:r>
                    <w:rPr>
                      <w:rFonts w:hint="eastAsia" w:ascii="宋体" w:hAnsi="宋体" w:cs="宋体"/>
                      <w:color w:val="auto"/>
                      <w:spacing w:val="-4"/>
                      <w:sz w:val="21"/>
                      <w:szCs w:val="21"/>
                      <w:highlight w:val="none"/>
                      <w:lang w:val="en-US" w:eastAsia="zh-CN"/>
                    </w:rPr>
                    <w:t>贮存点</w:t>
                  </w:r>
                  <w:r>
                    <w:rPr>
                      <w:rFonts w:hint="eastAsia" w:ascii="宋体" w:hAnsi="宋体" w:cs="宋体"/>
                      <w:color w:val="auto"/>
                      <w:spacing w:val="-4"/>
                      <w:sz w:val="21"/>
                      <w:szCs w:val="21"/>
                      <w:highlight w:val="none"/>
                    </w:rPr>
                    <w:t>贮存，由具有相应危险废物处置资质的单位进行接收、转运和处置</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90" w:hRule="atLeast"/>
                <w:jc w:val="center"/>
              </w:trPr>
              <w:tc>
                <w:tcPr>
                  <w:tcW w:w="465" w:type="dxa"/>
                  <w:vMerge w:val="continue"/>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433" w:type="dxa"/>
                  <w:vMerge w:val="continue"/>
                  <w:tcBorders>
                    <w:right w:val="single" w:color="auto" w:sz="4" w:space="0"/>
                  </w:tcBorders>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1347" w:type="dxa"/>
                  <w:tcBorders>
                    <w:left w:val="single" w:color="auto" w:sz="4" w:space="0"/>
                  </w:tcBorders>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eastAsia" w:ascii="宋体" w:hAnsi="宋体" w:cs="宋体"/>
                      <w:color w:val="auto"/>
                      <w:sz w:val="21"/>
                      <w:szCs w:val="21"/>
                      <w:highlight w:val="none"/>
                    </w:rPr>
                    <w:t>废润滑油、废润滑油桶</w:t>
                  </w:r>
                </w:p>
              </w:tc>
              <w:tc>
                <w:tcPr>
                  <w:tcW w:w="5676" w:type="dxa"/>
                  <w:gridSpan w:val="2"/>
                  <w:vAlign w:val="center"/>
                </w:tcPr>
                <w:p>
                  <w:pPr>
                    <w:adjustRightInd w:val="0"/>
                    <w:snapToGrid w:val="0"/>
                    <w:spacing w:line="300" w:lineRule="exact"/>
                    <w:rPr>
                      <w:rFonts w:hint="default" w:ascii="Times New Roman" w:hAnsi="Times New Roman" w:cs="Times New Roman"/>
                      <w:color w:val="auto"/>
                      <w:sz w:val="21"/>
                      <w:szCs w:val="21"/>
                      <w:highlight w:val="none"/>
                    </w:rPr>
                  </w:pPr>
                  <w:r>
                    <w:rPr>
                      <w:rFonts w:hint="eastAsia" w:ascii="宋体" w:hAnsi="宋体" w:cs="宋体"/>
                      <w:color w:val="auto"/>
                      <w:sz w:val="21"/>
                      <w:szCs w:val="21"/>
                      <w:highlight w:val="none"/>
                    </w:rPr>
                    <w:t>施工过程中，设备检修与维护过程中产生的废润滑油及废润滑油桶属于危险废物，在井场危废</w:t>
                  </w:r>
                  <w:r>
                    <w:rPr>
                      <w:rFonts w:hint="eastAsia" w:ascii="宋体" w:hAnsi="宋体" w:cs="宋体"/>
                      <w:color w:val="auto"/>
                      <w:spacing w:val="-4"/>
                      <w:sz w:val="21"/>
                      <w:szCs w:val="21"/>
                      <w:highlight w:val="none"/>
                      <w:lang w:val="en-US" w:eastAsia="zh-CN"/>
                    </w:rPr>
                    <w:t>贮存点</w:t>
                  </w:r>
                  <w:r>
                    <w:rPr>
                      <w:rFonts w:hint="eastAsia" w:ascii="宋体" w:hAnsi="宋体" w:cs="宋体"/>
                      <w:color w:val="auto"/>
                      <w:sz w:val="21"/>
                      <w:szCs w:val="21"/>
                      <w:highlight w:val="none"/>
                    </w:rPr>
                    <w:t>贮存，由具有相应危险废物处置资质的单位进行接收、转运和处置</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jc w:val="center"/>
              </w:trPr>
              <w:tc>
                <w:tcPr>
                  <w:tcW w:w="465" w:type="dxa"/>
                  <w:vMerge w:val="continue"/>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433" w:type="dxa"/>
                  <w:vMerge w:val="continue"/>
                  <w:tcBorders>
                    <w:right w:val="single" w:color="auto" w:sz="4" w:space="0"/>
                  </w:tcBorders>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1347" w:type="dxa"/>
                  <w:tcBorders>
                    <w:left w:val="single" w:color="auto" w:sz="4" w:space="0"/>
                  </w:tcBorders>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生活垃圾</w:t>
                  </w:r>
                </w:p>
              </w:tc>
              <w:tc>
                <w:tcPr>
                  <w:tcW w:w="5676" w:type="dxa"/>
                  <w:gridSpan w:val="2"/>
                  <w:vAlign w:val="center"/>
                </w:tcPr>
                <w:p>
                  <w:pPr>
                    <w:adjustRightInd w:val="0"/>
                    <w:snapToGrid w:val="0"/>
                    <w:spacing w:line="300" w:lineRule="exact"/>
                    <w:rPr>
                      <w:rFonts w:hint="eastAsia" w:ascii="Times New Roman" w:hAnsi="Times New Roman" w:eastAsia="宋体" w:cs="Times New Roman"/>
                      <w:color w:val="auto"/>
                      <w:sz w:val="21"/>
                      <w:szCs w:val="21"/>
                      <w:highlight w:val="none"/>
                      <w:lang w:val="en-US" w:eastAsia="zh-CN"/>
                    </w:rPr>
                  </w:pPr>
                  <w:r>
                    <w:rPr>
                      <w:rFonts w:hint="eastAsia" w:ascii="宋体" w:hAnsi="宋体" w:cs="宋体"/>
                      <w:color w:val="auto"/>
                      <w:sz w:val="21"/>
                      <w:szCs w:val="21"/>
                      <w:highlight w:val="none"/>
                    </w:rPr>
                    <w:t>井场和生活营地均设有垃圾箱暂存生活垃圾，定期清运至</w:t>
                  </w:r>
                  <w:r>
                    <w:rPr>
                      <w:rFonts w:hint="eastAsia" w:cs="Times New Roman"/>
                      <w:color w:val="auto"/>
                      <w:sz w:val="21"/>
                      <w:szCs w:val="21"/>
                      <w:highlight w:val="none"/>
                      <w:lang w:eastAsia="zh-CN"/>
                    </w:rPr>
                    <w:t>呼图壁县生活垃圾填埋场</w:t>
                  </w:r>
                  <w:r>
                    <w:rPr>
                      <w:rFonts w:hint="eastAsia" w:cs="Times New Roman"/>
                      <w:color w:val="auto"/>
                      <w:sz w:val="21"/>
                      <w:szCs w:val="21"/>
                      <w:highlight w:val="none"/>
                      <w:lang w:val="en-US" w:eastAsia="zh-CN"/>
                    </w:rPr>
                    <w:t>填埋</w:t>
                  </w:r>
                  <w:r>
                    <w:rPr>
                      <w:rFonts w:hint="eastAsia" w:ascii="宋体" w:hAnsi="宋体" w:cs="宋体"/>
                      <w:color w:val="auto"/>
                      <w:sz w:val="21"/>
                      <w:szCs w:val="21"/>
                      <w:highlight w:val="none"/>
                      <w:lang w:val="en-US" w:eastAsia="zh-CN"/>
                    </w:rPr>
                    <w:t>处置</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jc w:val="center"/>
              </w:trPr>
              <w:tc>
                <w:tcPr>
                  <w:tcW w:w="465" w:type="dxa"/>
                  <w:vMerge w:val="continue"/>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1780" w:type="dxa"/>
                  <w:gridSpan w:val="2"/>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生态措施</w:t>
                  </w:r>
                </w:p>
              </w:tc>
              <w:tc>
                <w:tcPr>
                  <w:tcW w:w="5676" w:type="dxa"/>
                  <w:gridSpan w:val="2"/>
                  <w:vAlign w:val="center"/>
                </w:tcPr>
                <w:p>
                  <w:pPr>
                    <w:adjustRightInd w:val="0"/>
                    <w:snapToGrid w:val="0"/>
                    <w:spacing w:line="300" w:lineRule="exact"/>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施工结束后及时对临时占地进行清理、平整，</w:t>
                  </w:r>
                  <w:r>
                    <w:rPr>
                      <w:rFonts w:hint="eastAsia" w:ascii="Times New Roman" w:hAnsi="Times New Roman" w:cs="Times New Roman"/>
                      <w:color w:val="auto"/>
                      <w:sz w:val="21"/>
                      <w:szCs w:val="21"/>
                      <w:highlight w:val="none"/>
                      <w:lang w:val="en-US" w:eastAsia="zh-CN"/>
                    </w:rPr>
                    <w:t>对植被</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jc w:val="center"/>
              </w:trPr>
              <w:tc>
                <w:tcPr>
                  <w:tcW w:w="465" w:type="dxa"/>
                  <w:vMerge w:val="continue"/>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433" w:type="dxa"/>
                  <w:vMerge w:val="restart"/>
                  <w:vAlign w:val="center"/>
                </w:tcPr>
                <w:p>
                  <w:pPr>
                    <w:adjustRightInd w:val="0"/>
                    <w:snapToGrid w:val="0"/>
                    <w:spacing w:line="300" w:lineRule="exact"/>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环境风险</w:t>
                  </w:r>
                </w:p>
              </w:tc>
              <w:tc>
                <w:tcPr>
                  <w:tcW w:w="1347" w:type="dxa"/>
                  <w:shd w:val="clear" w:color="auto" w:fill="auto"/>
                  <w:vAlign w:val="center"/>
                </w:tcPr>
                <w:p>
                  <w:pPr>
                    <w:adjustRightInd w:val="0"/>
                    <w:snapToGrid w:val="0"/>
                    <w:spacing w:line="300" w:lineRule="exac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H</w:t>
                  </w:r>
                  <w:r>
                    <w:rPr>
                      <w:rFonts w:hint="default" w:ascii="Times New Roman" w:hAnsi="Times New Roman" w:cs="Times New Roman"/>
                      <w:color w:val="auto"/>
                      <w:sz w:val="21"/>
                      <w:szCs w:val="21"/>
                      <w:highlight w:val="none"/>
                      <w:vertAlign w:val="subscript"/>
                    </w:rPr>
                    <w:t>2</w:t>
                  </w:r>
                  <w:r>
                    <w:rPr>
                      <w:rFonts w:hint="default" w:ascii="Times New Roman" w:hAnsi="Times New Roman" w:cs="Times New Roman"/>
                      <w:color w:val="auto"/>
                      <w:sz w:val="21"/>
                      <w:szCs w:val="21"/>
                      <w:highlight w:val="none"/>
                    </w:rPr>
                    <w:t>S监测</w:t>
                  </w:r>
                </w:p>
              </w:tc>
              <w:tc>
                <w:tcPr>
                  <w:tcW w:w="5676" w:type="dxa"/>
                  <w:gridSpan w:val="2"/>
                  <w:vAlign w:val="center"/>
                </w:tcPr>
                <w:p>
                  <w:pPr>
                    <w:adjustRightInd w:val="0"/>
                    <w:snapToGrid w:val="0"/>
                    <w:spacing w:line="300" w:lineRule="exac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井场</w:t>
                  </w:r>
                  <w:r>
                    <w:rPr>
                      <w:rFonts w:hint="default" w:ascii="Times New Roman" w:hAnsi="Times New Roman" w:cs="Times New Roman"/>
                      <w:color w:val="auto"/>
                      <w:sz w:val="21"/>
                      <w:szCs w:val="21"/>
                      <w:highlight w:val="none"/>
                      <w:lang w:val="en-US" w:eastAsia="zh-CN"/>
                    </w:rPr>
                    <w:t>配备</w:t>
                  </w:r>
                  <w:r>
                    <w:rPr>
                      <w:rFonts w:hint="default" w:ascii="Times New Roman" w:hAnsi="Times New Roman" w:cs="Times New Roman"/>
                      <w:color w:val="auto"/>
                      <w:sz w:val="21"/>
                      <w:szCs w:val="21"/>
                      <w:highlight w:val="none"/>
                    </w:rPr>
                    <w:t>H</w:t>
                  </w:r>
                  <w:r>
                    <w:rPr>
                      <w:rFonts w:hint="default" w:ascii="Times New Roman" w:hAnsi="Times New Roman" w:cs="Times New Roman"/>
                      <w:color w:val="auto"/>
                      <w:sz w:val="21"/>
                      <w:szCs w:val="21"/>
                      <w:highlight w:val="none"/>
                      <w:vertAlign w:val="subscript"/>
                    </w:rPr>
                    <w:t>2</w:t>
                  </w:r>
                  <w:r>
                    <w:rPr>
                      <w:rFonts w:hint="default" w:ascii="Times New Roman" w:hAnsi="Times New Roman" w:cs="Times New Roman"/>
                      <w:color w:val="auto"/>
                      <w:sz w:val="21"/>
                      <w:szCs w:val="21"/>
                      <w:highlight w:val="none"/>
                    </w:rPr>
                    <w:t>S监测仪</w:t>
                  </w:r>
                  <w:r>
                    <w:rPr>
                      <w:rFonts w:hint="eastAsia" w:ascii="Times New Roman" w:hAnsi="Times New Roman" w:cs="Times New Roman"/>
                      <w:color w:val="auto"/>
                      <w:sz w:val="21"/>
                      <w:szCs w:val="21"/>
                      <w:highlight w:val="none"/>
                      <w:lang w:eastAsia="zh-CN"/>
                    </w:rPr>
                    <w:t>，</w:t>
                  </w:r>
                  <w:r>
                    <w:rPr>
                      <w:rFonts w:hint="eastAsia" w:ascii="Times New Roman" w:hAnsi="Times New Roman" w:cs="Times New Roman"/>
                      <w:color w:val="auto"/>
                      <w:sz w:val="21"/>
                      <w:szCs w:val="21"/>
                      <w:highlight w:val="none"/>
                      <w:lang w:val="en-US" w:eastAsia="zh-CN"/>
                    </w:rPr>
                    <w:t>设置消防器材和应急物资</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jc w:val="center"/>
              </w:trPr>
              <w:tc>
                <w:tcPr>
                  <w:tcW w:w="465" w:type="dxa"/>
                  <w:vMerge w:val="continue"/>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433" w:type="dxa"/>
                  <w:vMerge w:val="continue"/>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1347" w:type="dxa"/>
                  <w:shd w:val="clear" w:color="auto" w:fill="auto"/>
                  <w:vAlign w:val="center"/>
                </w:tcPr>
                <w:p>
                  <w:pPr>
                    <w:adjustRightInd w:val="0"/>
                    <w:snapToGrid w:val="0"/>
                    <w:spacing w:line="300" w:lineRule="exac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放喷设施</w:t>
                  </w:r>
                </w:p>
              </w:tc>
              <w:tc>
                <w:tcPr>
                  <w:tcW w:w="5676" w:type="dxa"/>
                  <w:gridSpan w:val="2"/>
                  <w:vAlign w:val="center"/>
                </w:tcPr>
                <w:p>
                  <w:pPr>
                    <w:adjustRightInd w:val="0"/>
                    <w:snapToGrid w:val="0"/>
                    <w:spacing w:line="300" w:lineRule="exac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井场左右两侧各设置1条放喷管线，预留应急放喷池位置</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jc w:val="center"/>
              </w:trPr>
              <w:tc>
                <w:tcPr>
                  <w:tcW w:w="465" w:type="dxa"/>
                  <w:vMerge w:val="continue"/>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433" w:type="dxa"/>
                  <w:vMerge w:val="continue"/>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1347" w:type="dxa"/>
                  <w:shd w:val="clear" w:color="auto" w:fill="auto"/>
                  <w:vAlign w:val="center"/>
                </w:tcPr>
                <w:p>
                  <w:pPr>
                    <w:adjustRightInd w:val="0"/>
                    <w:snapToGrid w:val="0"/>
                    <w:spacing w:line="300" w:lineRule="exact"/>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固井</w:t>
                  </w:r>
                </w:p>
              </w:tc>
              <w:tc>
                <w:tcPr>
                  <w:tcW w:w="5676" w:type="dxa"/>
                  <w:gridSpan w:val="2"/>
                  <w:vAlign w:val="center"/>
                </w:tcPr>
                <w:p>
                  <w:pPr>
                    <w:adjustRightInd w:val="0"/>
                    <w:snapToGrid w:val="0"/>
                    <w:spacing w:line="300" w:lineRule="exact"/>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井孔采用水泥浆固井</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After w:val="1"/>
                <w:wAfter w:w="46" w:type="dxa"/>
                <w:trHeight w:val="0" w:hRule="atLeast"/>
                <w:jc w:val="center"/>
              </w:trPr>
              <w:tc>
                <w:tcPr>
                  <w:tcW w:w="465" w:type="dxa"/>
                  <w:vMerge w:val="restart"/>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依托工程</w:t>
                  </w:r>
                </w:p>
              </w:tc>
              <w:tc>
                <w:tcPr>
                  <w:tcW w:w="1780" w:type="dxa"/>
                  <w:gridSpan w:val="2"/>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试油废水</w:t>
                  </w:r>
                </w:p>
              </w:tc>
              <w:tc>
                <w:tcPr>
                  <w:tcW w:w="5630" w:type="dxa"/>
                  <w:vAlign w:val="center"/>
                </w:tcPr>
                <w:p>
                  <w:pPr>
                    <w:adjustRightInd w:val="0"/>
                    <w:snapToGrid w:val="0"/>
                    <w:spacing w:line="300" w:lineRule="exac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试油废水（洗井废水和压裂返排液）</w:t>
                  </w:r>
                  <w:r>
                    <w:rPr>
                      <w:rFonts w:hint="default" w:ascii="Times New Roman" w:hAnsi="Times New Roman" w:cs="Times New Roman"/>
                      <w:color w:val="auto"/>
                      <w:sz w:val="21"/>
                      <w:szCs w:val="21"/>
                      <w:highlight w:val="none"/>
                    </w:rPr>
                    <w:t>由罐车送至石西集中处理站采出水处理系统处理</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After w:val="1"/>
                <w:wAfter w:w="46" w:type="dxa"/>
                <w:trHeight w:val="0" w:hRule="atLeast"/>
                <w:jc w:val="center"/>
              </w:trPr>
              <w:tc>
                <w:tcPr>
                  <w:tcW w:w="465" w:type="dxa"/>
                  <w:vMerge w:val="continue"/>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1780" w:type="dxa"/>
                  <w:gridSpan w:val="2"/>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采出液</w:t>
                  </w:r>
                </w:p>
              </w:tc>
              <w:tc>
                <w:tcPr>
                  <w:tcW w:w="5630" w:type="dxa"/>
                  <w:vAlign w:val="center"/>
                </w:tcPr>
                <w:p>
                  <w:pPr>
                    <w:adjustRightInd w:val="0"/>
                    <w:snapToGrid w:val="0"/>
                    <w:spacing w:line="300" w:lineRule="exac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采出液</w:t>
                  </w:r>
                  <w:r>
                    <w:rPr>
                      <w:rFonts w:hint="default" w:ascii="Times New Roman" w:hAnsi="Times New Roman" w:cs="Times New Roman"/>
                      <w:color w:val="auto"/>
                      <w:sz w:val="21"/>
                      <w:szCs w:val="21"/>
                      <w:highlight w:val="none"/>
                    </w:rPr>
                    <w:t>由罐车送至石西集中处理站原油处理系统处理</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After w:val="1"/>
                <w:wAfter w:w="46" w:type="dxa"/>
                <w:trHeight w:val="0" w:hRule="atLeast"/>
                <w:jc w:val="center"/>
              </w:trPr>
              <w:tc>
                <w:tcPr>
                  <w:tcW w:w="465" w:type="dxa"/>
                  <w:vMerge w:val="continue"/>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1780" w:type="dxa"/>
                  <w:gridSpan w:val="2"/>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生活污水</w:t>
                  </w:r>
                </w:p>
              </w:tc>
              <w:tc>
                <w:tcPr>
                  <w:tcW w:w="5630" w:type="dxa"/>
                  <w:vAlign w:val="center"/>
                </w:tcPr>
                <w:p>
                  <w:pPr>
                    <w:adjustRightInd w:val="0"/>
                    <w:snapToGrid w:val="0"/>
                    <w:spacing w:line="300" w:lineRule="exac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生活污水</w:t>
                  </w:r>
                  <w:r>
                    <w:rPr>
                      <w:rFonts w:hint="default" w:ascii="Times New Roman" w:hAnsi="Times New Roman" w:cs="Times New Roman"/>
                      <w:color w:val="auto"/>
                      <w:sz w:val="21"/>
                      <w:szCs w:val="21"/>
                      <w:highlight w:val="none"/>
                    </w:rPr>
                    <w:t>由吸污车运至</w:t>
                  </w:r>
                  <w:r>
                    <w:rPr>
                      <w:rFonts w:hint="eastAsia" w:cs="Times New Roman"/>
                      <w:color w:val="auto"/>
                      <w:sz w:val="21"/>
                      <w:szCs w:val="21"/>
                      <w:highlight w:val="none"/>
                      <w:lang w:eastAsia="zh-CN"/>
                    </w:rPr>
                    <w:t>呼图壁县丰泉污水处理厂</w:t>
                  </w:r>
                  <w:r>
                    <w:rPr>
                      <w:rFonts w:hint="default" w:ascii="Times New Roman" w:hAnsi="Times New Roman" w:cs="Times New Roman"/>
                      <w:color w:val="auto"/>
                      <w:sz w:val="21"/>
                      <w:szCs w:val="21"/>
                      <w:highlight w:val="none"/>
                    </w:rPr>
                    <w:t>处理</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After w:val="1"/>
                <w:wAfter w:w="46" w:type="dxa"/>
                <w:trHeight w:val="0" w:hRule="atLeast"/>
                <w:jc w:val="center"/>
              </w:trPr>
              <w:tc>
                <w:tcPr>
                  <w:tcW w:w="465" w:type="dxa"/>
                  <w:vMerge w:val="continue"/>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1780" w:type="dxa"/>
                  <w:gridSpan w:val="2"/>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生活垃圾</w:t>
                  </w:r>
                </w:p>
              </w:tc>
              <w:tc>
                <w:tcPr>
                  <w:tcW w:w="5630" w:type="dxa"/>
                  <w:vAlign w:val="center"/>
                </w:tcPr>
                <w:p>
                  <w:pPr>
                    <w:adjustRightInd w:val="0"/>
                    <w:snapToGrid w:val="0"/>
                    <w:spacing w:line="300" w:lineRule="exac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生活垃圾</w:t>
                  </w:r>
                  <w:r>
                    <w:rPr>
                      <w:rFonts w:hint="default" w:ascii="Times New Roman" w:hAnsi="Times New Roman" w:cs="Times New Roman"/>
                      <w:color w:val="auto"/>
                      <w:sz w:val="21"/>
                      <w:szCs w:val="21"/>
                      <w:highlight w:val="none"/>
                    </w:rPr>
                    <w:t>定期委托清运至</w:t>
                  </w:r>
                  <w:r>
                    <w:rPr>
                      <w:rFonts w:hint="eastAsia" w:cs="Times New Roman"/>
                      <w:color w:val="auto"/>
                      <w:sz w:val="21"/>
                      <w:szCs w:val="21"/>
                      <w:highlight w:val="none"/>
                      <w:lang w:eastAsia="zh-CN"/>
                    </w:rPr>
                    <w:t>呼图壁县生活垃圾填埋场</w:t>
                  </w:r>
                  <w:r>
                    <w:rPr>
                      <w:rFonts w:hint="eastAsia" w:cs="Times New Roman"/>
                      <w:color w:val="auto"/>
                      <w:sz w:val="21"/>
                      <w:szCs w:val="21"/>
                      <w:highlight w:val="none"/>
                      <w:lang w:val="en-US" w:eastAsia="zh-CN"/>
                    </w:rPr>
                    <w:t>填埋</w:t>
                  </w:r>
                  <w:r>
                    <w:rPr>
                      <w:rFonts w:hint="default" w:ascii="Times New Roman" w:hAnsi="Times New Roman" w:cs="Times New Roman"/>
                      <w:color w:val="auto"/>
                      <w:sz w:val="21"/>
                      <w:szCs w:val="21"/>
                      <w:highlight w:val="none"/>
                    </w:rPr>
                    <w:t>处置</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After w:val="1"/>
                <w:wAfter w:w="46" w:type="dxa"/>
                <w:trHeight w:val="0" w:hRule="atLeast"/>
                <w:jc w:val="center"/>
              </w:trPr>
              <w:tc>
                <w:tcPr>
                  <w:tcW w:w="465" w:type="dxa"/>
                  <w:vMerge w:val="continue"/>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1780" w:type="dxa"/>
                  <w:gridSpan w:val="2"/>
                  <w:vAlign w:val="center"/>
                </w:tcPr>
                <w:p>
                  <w:pPr>
                    <w:adjustRightInd w:val="0"/>
                    <w:snapToGrid w:val="0"/>
                    <w:spacing w:line="300" w:lineRule="exact"/>
                    <w:jc w:val="center"/>
                    <w:rPr>
                      <w:rFonts w:hint="default" w:ascii="Times New Roman" w:hAnsi="Times New Roman" w:cs="Times New Roman"/>
                      <w:color w:val="auto"/>
                      <w:spacing w:val="0"/>
                      <w:sz w:val="21"/>
                      <w:szCs w:val="21"/>
                      <w:highlight w:val="none"/>
                    </w:rPr>
                  </w:pPr>
                  <w:r>
                    <w:rPr>
                      <w:rFonts w:hint="default" w:ascii="Times New Roman" w:hAnsi="Times New Roman" w:cs="Times New Roman"/>
                      <w:color w:val="auto"/>
                      <w:spacing w:val="0"/>
                      <w:sz w:val="21"/>
                      <w:szCs w:val="21"/>
                      <w:highlight w:val="none"/>
                    </w:rPr>
                    <w:t>水基钻井岩屑</w:t>
                  </w:r>
                </w:p>
              </w:tc>
              <w:tc>
                <w:tcPr>
                  <w:tcW w:w="5630" w:type="dxa"/>
                  <w:vAlign w:val="center"/>
                </w:tcPr>
                <w:p>
                  <w:pPr>
                    <w:adjustRightInd w:val="0"/>
                    <w:snapToGrid w:val="0"/>
                    <w:spacing w:line="300" w:lineRule="exac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委托</w:t>
                  </w:r>
                  <w:r>
                    <w:rPr>
                      <w:rFonts w:hint="default" w:ascii="Times New Roman" w:hAnsi="Times New Roman" w:cs="Times New Roman"/>
                      <w:color w:val="auto"/>
                      <w:sz w:val="21"/>
                      <w:szCs w:val="21"/>
                      <w:highlight w:val="none"/>
                      <w:lang w:val="en-US" w:eastAsia="zh-CN"/>
                    </w:rPr>
                    <w:t>第三方</w:t>
                  </w:r>
                  <w:r>
                    <w:rPr>
                      <w:rFonts w:hint="default" w:ascii="Times New Roman" w:hAnsi="Times New Roman" w:cs="Times New Roman"/>
                      <w:color w:val="auto"/>
                      <w:sz w:val="21"/>
                      <w:szCs w:val="21"/>
                      <w:highlight w:val="none"/>
                    </w:rPr>
                    <w:t>岩屑处置单位处置</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After w:val="1"/>
                <w:wAfter w:w="46" w:type="dxa"/>
                <w:trHeight w:val="0" w:hRule="atLeast"/>
                <w:jc w:val="center"/>
              </w:trPr>
              <w:tc>
                <w:tcPr>
                  <w:tcW w:w="465" w:type="dxa"/>
                  <w:vMerge w:val="continue"/>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1780" w:type="dxa"/>
                  <w:gridSpan w:val="2"/>
                  <w:vAlign w:val="center"/>
                </w:tcPr>
                <w:p>
                  <w:pPr>
                    <w:adjustRightInd w:val="0"/>
                    <w:snapToGrid w:val="0"/>
                    <w:spacing w:line="300" w:lineRule="exact"/>
                    <w:jc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油基钻井岩屑</w:t>
                  </w:r>
                </w:p>
              </w:tc>
              <w:tc>
                <w:tcPr>
                  <w:tcW w:w="5630" w:type="dxa"/>
                  <w:vAlign w:val="center"/>
                </w:tcPr>
                <w:p>
                  <w:pPr>
                    <w:adjustRightInd w:val="0"/>
                    <w:snapToGrid w:val="0"/>
                    <w:spacing w:line="300" w:lineRule="exact"/>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新疆中建环能北庭环保科技有限公司</w:t>
                  </w:r>
                  <w:r>
                    <w:rPr>
                      <w:rFonts w:hint="eastAsia"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新疆中建西部建设水泥制造有限公司处置</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After w:val="1"/>
                <w:wAfter w:w="46" w:type="dxa"/>
                <w:trHeight w:val="0" w:hRule="atLeast"/>
                <w:jc w:val="center"/>
              </w:trPr>
              <w:tc>
                <w:tcPr>
                  <w:tcW w:w="465" w:type="dxa"/>
                  <w:vMerge w:val="continue"/>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1780" w:type="dxa"/>
                  <w:gridSpan w:val="2"/>
                  <w:vAlign w:val="center"/>
                </w:tcPr>
                <w:p>
                  <w:pPr>
                    <w:adjustRightInd w:val="0"/>
                    <w:snapToGrid w:val="0"/>
                    <w:spacing w:line="300" w:lineRule="exact"/>
                    <w:jc w:val="center"/>
                    <w:rPr>
                      <w:rFonts w:hint="default" w:ascii="Times New Roman" w:hAnsi="Times New Roman" w:eastAsia="宋体" w:cs="Times New Roman"/>
                      <w:color w:val="auto"/>
                      <w:kern w:val="2"/>
                      <w:sz w:val="21"/>
                      <w:szCs w:val="21"/>
                      <w:highlight w:val="none"/>
                      <w:lang w:val="en-US" w:eastAsia="zh-CN" w:bidi="ar-SA"/>
                    </w:rPr>
                  </w:pPr>
                  <w:r>
                    <w:rPr>
                      <w:rFonts w:hint="eastAsia" w:ascii="宋体" w:hAnsi="宋体" w:cs="宋体"/>
                      <w:color w:val="auto"/>
                      <w:sz w:val="21"/>
                      <w:szCs w:val="21"/>
                      <w:highlight w:val="none"/>
                    </w:rPr>
                    <w:t>废润滑油、废润滑油桶</w:t>
                  </w:r>
                  <w:r>
                    <w:rPr>
                      <w:rFonts w:hint="eastAsia" w:ascii="宋体" w:hAnsi="宋体" w:cs="宋体"/>
                      <w:color w:val="auto"/>
                      <w:sz w:val="21"/>
                      <w:szCs w:val="21"/>
                      <w:highlight w:val="none"/>
                      <w:lang w:val="en-US" w:eastAsia="zh-CN"/>
                    </w:rPr>
                    <w:t>和沾油</w:t>
                  </w:r>
                  <w:r>
                    <w:rPr>
                      <w:rFonts w:hint="eastAsia" w:ascii="宋体" w:hAnsi="宋体" w:cs="宋体"/>
                      <w:color w:val="auto"/>
                      <w:sz w:val="21"/>
                      <w:szCs w:val="21"/>
                      <w:highlight w:val="none"/>
                    </w:rPr>
                    <w:t>废防渗材料</w:t>
                  </w:r>
                </w:p>
              </w:tc>
              <w:tc>
                <w:tcPr>
                  <w:tcW w:w="5630" w:type="dxa"/>
                  <w:vAlign w:val="center"/>
                </w:tcPr>
                <w:p>
                  <w:pPr>
                    <w:adjustRightInd w:val="0"/>
                    <w:snapToGrid w:val="0"/>
                    <w:spacing w:line="300" w:lineRule="exact"/>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委托</w:t>
                  </w:r>
                  <w:r>
                    <w:rPr>
                      <w:rFonts w:hint="default" w:ascii="Times New Roman" w:hAnsi="Times New Roman" w:cs="Times New Roman"/>
                      <w:color w:val="auto"/>
                      <w:sz w:val="21"/>
                      <w:szCs w:val="21"/>
                      <w:highlight w:val="none"/>
                    </w:rPr>
                    <w:t>有相应危废处置资质的单位负责接收、转运以及处置</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After w:val="1"/>
                <w:wAfter w:w="46" w:type="dxa"/>
                <w:trHeight w:val="0" w:hRule="atLeast"/>
                <w:jc w:val="center"/>
              </w:trPr>
              <w:tc>
                <w:tcPr>
                  <w:tcW w:w="465" w:type="dxa"/>
                  <w:vAlign w:val="center"/>
                </w:tcPr>
                <w:p>
                  <w:pPr>
                    <w:adjustRightInd w:val="0"/>
                    <w:snapToGrid w:val="0"/>
                    <w:spacing w:line="300" w:lineRule="exact"/>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储运</w:t>
                  </w:r>
                </w:p>
                <w:p>
                  <w:pPr>
                    <w:adjustRightInd w:val="0"/>
                    <w:snapToGrid w:val="0"/>
                    <w:spacing w:line="300" w:lineRule="exact"/>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工程</w:t>
                  </w:r>
                </w:p>
              </w:tc>
              <w:tc>
                <w:tcPr>
                  <w:tcW w:w="7410" w:type="dxa"/>
                  <w:gridSpan w:val="3"/>
                  <w:vAlign w:val="center"/>
                </w:tcPr>
                <w:p>
                  <w:pPr>
                    <w:adjustRightInd w:val="0"/>
                    <w:snapToGrid w:val="0"/>
                    <w:spacing w:line="300" w:lineRule="exact"/>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试油废水、采出液、钻井液、水基钻井岩屑、柴油等均为罐装，储罐区底部铺设有防渗膜；其他施工材料在井场专门区域（材料房、材料爬犁、化工爬犁）堆放。钻井井场设置柴油储罐区（1座30m</w:t>
                  </w:r>
                  <w:r>
                    <w:rPr>
                      <w:rFonts w:hint="eastAsia" w:ascii="Times New Roman" w:hAnsi="Times New Roman" w:eastAsia="宋体" w:cs="Times New Roman"/>
                      <w:color w:val="auto"/>
                      <w:sz w:val="21"/>
                      <w:szCs w:val="21"/>
                      <w:highlight w:val="none"/>
                      <w:vertAlign w:val="superscript"/>
                      <w:lang w:eastAsia="zh-CN"/>
                    </w:rPr>
                    <w:t>3</w:t>
                  </w:r>
                  <w:r>
                    <w:rPr>
                      <w:rFonts w:hint="eastAsia" w:ascii="Times New Roman" w:hAnsi="Times New Roman" w:eastAsia="宋体" w:cs="Times New Roman"/>
                      <w:color w:val="auto"/>
                      <w:sz w:val="21"/>
                      <w:szCs w:val="21"/>
                      <w:highlight w:val="none"/>
                      <w:lang w:eastAsia="zh-CN"/>
                    </w:rPr>
                    <w:t>柴油储罐）、1座60m</w:t>
                  </w:r>
                  <w:r>
                    <w:rPr>
                      <w:rFonts w:hint="eastAsia" w:ascii="Times New Roman" w:hAnsi="Times New Roman" w:eastAsia="宋体" w:cs="Times New Roman"/>
                      <w:color w:val="auto"/>
                      <w:sz w:val="21"/>
                      <w:szCs w:val="21"/>
                      <w:highlight w:val="none"/>
                      <w:vertAlign w:val="superscript"/>
                      <w:lang w:eastAsia="zh-CN"/>
                    </w:rPr>
                    <w:t>3</w:t>
                  </w:r>
                  <w:r>
                    <w:rPr>
                      <w:rFonts w:hint="eastAsia" w:ascii="Times New Roman" w:hAnsi="Times New Roman" w:eastAsia="宋体" w:cs="Times New Roman"/>
                      <w:color w:val="auto"/>
                      <w:sz w:val="21"/>
                      <w:szCs w:val="21"/>
                      <w:highlight w:val="none"/>
                      <w:lang w:eastAsia="zh-CN"/>
                    </w:rPr>
                    <w:t>的储水罐，设置钻井液储罐区（</w:t>
                  </w:r>
                  <w:r>
                    <w:rPr>
                      <w:rFonts w:hint="eastAsia" w:cs="Times New Roman"/>
                      <w:color w:val="auto"/>
                      <w:sz w:val="21"/>
                      <w:szCs w:val="21"/>
                      <w:highlight w:val="none"/>
                      <w:lang w:val="en-US" w:eastAsia="zh-CN"/>
                    </w:rPr>
                    <w:t>14</w:t>
                  </w:r>
                  <w:r>
                    <w:rPr>
                      <w:rFonts w:hint="eastAsia" w:ascii="Times New Roman" w:hAnsi="Times New Roman" w:eastAsia="宋体" w:cs="Times New Roman"/>
                      <w:color w:val="auto"/>
                      <w:sz w:val="21"/>
                      <w:szCs w:val="21"/>
                      <w:highlight w:val="none"/>
                      <w:lang w:eastAsia="zh-CN"/>
                    </w:rPr>
                    <w:t>座50m</w:t>
                  </w:r>
                  <w:r>
                    <w:rPr>
                      <w:rFonts w:hint="eastAsia" w:ascii="Times New Roman" w:hAnsi="Times New Roman" w:eastAsia="宋体" w:cs="Times New Roman"/>
                      <w:color w:val="auto"/>
                      <w:sz w:val="21"/>
                      <w:szCs w:val="21"/>
                      <w:highlight w:val="none"/>
                      <w:vertAlign w:val="superscript"/>
                      <w:lang w:eastAsia="zh-CN"/>
                    </w:rPr>
                    <w:t>3</w:t>
                  </w:r>
                  <w:r>
                    <w:rPr>
                      <w:rFonts w:hint="eastAsia" w:ascii="Times New Roman" w:hAnsi="Times New Roman" w:eastAsia="宋体" w:cs="Times New Roman"/>
                      <w:color w:val="auto"/>
                      <w:sz w:val="21"/>
                      <w:szCs w:val="21"/>
                      <w:highlight w:val="none"/>
                      <w:lang w:eastAsia="zh-CN"/>
                    </w:rPr>
                    <w:t>的钻井液储罐），4座25m</w:t>
                  </w:r>
                  <w:r>
                    <w:rPr>
                      <w:rFonts w:hint="eastAsia" w:ascii="Times New Roman" w:hAnsi="Times New Roman" w:eastAsia="宋体" w:cs="Times New Roman"/>
                      <w:color w:val="auto"/>
                      <w:sz w:val="21"/>
                      <w:szCs w:val="21"/>
                      <w:highlight w:val="none"/>
                      <w:vertAlign w:val="superscript"/>
                      <w:lang w:eastAsia="zh-CN"/>
                    </w:rPr>
                    <w:t>3</w:t>
                  </w:r>
                  <w:r>
                    <w:rPr>
                      <w:rFonts w:hint="eastAsia" w:ascii="Times New Roman" w:hAnsi="Times New Roman" w:eastAsia="宋体" w:cs="Times New Roman"/>
                      <w:color w:val="auto"/>
                      <w:sz w:val="21"/>
                      <w:szCs w:val="21"/>
                      <w:highlight w:val="none"/>
                      <w:lang w:eastAsia="zh-CN"/>
                    </w:rPr>
                    <w:t>的水基钻井岩屑储罐，4座25m</w:t>
                  </w:r>
                  <w:r>
                    <w:rPr>
                      <w:rFonts w:hint="eastAsia" w:ascii="Times New Roman" w:hAnsi="Times New Roman" w:eastAsia="宋体" w:cs="Times New Roman"/>
                      <w:color w:val="auto"/>
                      <w:sz w:val="21"/>
                      <w:szCs w:val="21"/>
                      <w:highlight w:val="none"/>
                      <w:vertAlign w:val="superscript"/>
                      <w:lang w:eastAsia="zh-CN"/>
                    </w:rPr>
                    <w:t>3</w:t>
                  </w:r>
                  <w:r>
                    <w:rPr>
                      <w:rFonts w:hint="eastAsia" w:ascii="Times New Roman" w:hAnsi="Times New Roman" w:eastAsia="宋体" w:cs="Times New Roman"/>
                      <w:color w:val="auto"/>
                      <w:sz w:val="21"/>
                      <w:szCs w:val="21"/>
                      <w:highlight w:val="none"/>
                      <w:lang w:eastAsia="zh-CN"/>
                    </w:rPr>
                    <w:t>的油基钻井岩屑储罐，放喷罐容积20m</w:t>
                  </w:r>
                  <w:r>
                    <w:rPr>
                      <w:rFonts w:hint="eastAsia" w:ascii="Times New Roman" w:hAnsi="Times New Roman" w:eastAsia="宋体" w:cs="Times New Roman"/>
                      <w:color w:val="auto"/>
                      <w:sz w:val="21"/>
                      <w:szCs w:val="21"/>
                      <w:highlight w:val="none"/>
                      <w:vertAlign w:val="superscript"/>
                      <w:lang w:eastAsia="zh-CN"/>
                    </w:rPr>
                    <w:t>3</w:t>
                  </w:r>
                  <w:r>
                    <w:rPr>
                      <w:rFonts w:hint="eastAsia" w:ascii="Times New Roman" w:hAnsi="Times New Roman" w:eastAsia="宋体" w:cs="Times New Roman"/>
                      <w:color w:val="auto"/>
                      <w:sz w:val="21"/>
                      <w:szCs w:val="21"/>
                      <w:highlight w:val="none"/>
                      <w:lang w:eastAsia="zh-CN"/>
                    </w:rPr>
                    <w:t>，危险废物贮存点占地约5m</w:t>
                  </w:r>
                  <w:r>
                    <w:rPr>
                      <w:rFonts w:hint="eastAsia" w:ascii="Times New Roman" w:hAnsi="Times New Roman" w:eastAsia="宋体" w:cs="Times New Roman"/>
                      <w:color w:val="auto"/>
                      <w:sz w:val="21"/>
                      <w:szCs w:val="21"/>
                      <w:highlight w:val="none"/>
                      <w:vertAlign w:val="superscript"/>
                      <w:lang w:eastAsia="zh-CN"/>
                    </w:rPr>
                    <w:t>2</w:t>
                  </w:r>
                  <w:r>
                    <w:rPr>
                      <w:rFonts w:hint="eastAsia" w:ascii="Times New Roman" w:hAnsi="Times New Roman" w:eastAsia="宋体" w:cs="Times New Roman"/>
                      <w:color w:val="auto"/>
                      <w:sz w:val="21"/>
                      <w:szCs w:val="21"/>
                      <w:highlight w:val="none"/>
                      <w:lang w:eastAsia="zh-CN"/>
                    </w:rPr>
                    <w:t>。试油井场设置2座60m</w:t>
                  </w:r>
                  <w:r>
                    <w:rPr>
                      <w:rFonts w:hint="eastAsia" w:ascii="Times New Roman" w:hAnsi="Times New Roman" w:eastAsia="宋体" w:cs="Times New Roman"/>
                      <w:color w:val="auto"/>
                      <w:sz w:val="21"/>
                      <w:szCs w:val="21"/>
                      <w:highlight w:val="none"/>
                      <w:vertAlign w:val="superscript"/>
                      <w:lang w:eastAsia="zh-CN"/>
                    </w:rPr>
                    <w:t>3</w:t>
                  </w:r>
                  <w:r>
                    <w:rPr>
                      <w:rFonts w:hint="eastAsia" w:ascii="Times New Roman" w:hAnsi="Times New Roman" w:eastAsia="宋体" w:cs="Times New Roman"/>
                      <w:color w:val="auto"/>
                      <w:sz w:val="21"/>
                      <w:szCs w:val="21"/>
                      <w:highlight w:val="none"/>
                      <w:lang w:eastAsia="zh-CN"/>
                    </w:rPr>
                    <w:t>的试油废水储罐及4座20m</w:t>
                  </w:r>
                  <w:r>
                    <w:rPr>
                      <w:rFonts w:hint="eastAsia" w:ascii="Times New Roman" w:hAnsi="Times New Roman" w:eastAsia="宋体" w:cs="Times New Roman"/>
                      <w:color w:val="auto"/>
                      <w:sz w:val="21"/>
                      <w:szCs w:val="21"/>
                      <w:highlight w:val="none"/>
                      <w:vertAlign w:val="superscript"/>
                      <w:lang w:eastAsia="zh-CN"/>
                    </w:rPr>
                    <w:t>3</w:t>
                  </w:r>
                  <w:r>
                    <w:rPr>
                      <w:rFonts w:hint="eastAsia" w:ascii="Times New Roman" w:hAnsi="Times New Roman" w:eastAsia="宋体" w:cs="Times New Roman"/>
                      <w:color w:val="auto"/>
                      <w:sz w:val="21"/>
                      <w:szCs w:val="21"/>
                      <w:highlight w:val="none"/>
                      <w:lang w:eastAsia="zh-CN"/>
                    </w:rPr>
                    <w:t>采出液方罐。</w:t>
                  </w:r>
                </w:p>
              </w:tc>
            </w:tr>
            <w:bookmarkEnd w:id="36"/>
          </w:tbl>
          <w:p>
            <w:pPr>
              <w:rPr>
                <w:rFonts w:hint="eastAsia"/>
                <w:lang w:val="en-US" w:eastAsia="zh-CN"/>
              </w:rPr>
            </w:pPr>
          </w:p>
          <w:p>
            <w:pPr>
              <w:rPr>
                <w:rFonts w:hint="default"/>
                <w:color w:val="auto"/>
                <w:highlight w:val="none"/>
                <w:lang w:val="en-US" w:eastAsia="zh-CN"/>
              </w:rPr>
            </w:pPr>
          </w:p>
        </w:tc>
      </w:tr>
      <w:bookmarkEnd w:id="3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8" w:type="pct"/>
            <w:vAlign w:val="center"/>
          </w:tcPr>
          <w:p>
            <w:pPr>
              <w:keepNext w:val="0"/>
              <w:keepLines w:val="0"/>
              <w:pageBreakBefore w:val="0"/>
              <w:widowControl w:val="0"/>
              <w:kinsoku/>
              <w:wordWrap/>
              <w:overflowPunct/>
              <w:topLinePunct w:val="0"/>
              <w:autoSpaceDE/>
              <w:autoSpaceDN/>
              <w:bidi w:val="0"/>
              <w:adjustRightInd/>
              <w:snapToGrid w:val="0"/>
              <w:spacing w:line="500" w:lineRule="exact"/>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总平面及现场布置</w:t>
            </w:r>
          </w:p>
        </w:tc>
        <w:tc>
          <w:tcPr>
            <w:tcW w:w="4771" w:type="pct"/>
          </w:tcPr>
          <w:p>
            <w:pPr>
              <w:pStyle w:val="54"/>
              <w:numPr>
                <w:ilvl w:val="0"/>
                <w:numId w:val="8"/>
              </w:numPr>
              <w:bidi w:val="0"/>
              <w:ind w:left="9" w:leftChars="0" w:firstLineChars="0"/>
              <w:rPr>
                <w:rFonts w:hint="default"/>
                <w:color w:val="auto"/>
                <w:highlight w:val="none"/>
                <w:lang w:val="en-US" w:eastAsia="zh-CN"/>
              </w:rPr>
            </w:pPr>
            <w:r>
              <w:rPr>
                <w:rFonts w:hint="eastAsia"/>
                <w:color w:val="auto"/>
                <w:highlight w:val="none"/>
                <w:lang w:val="en-US" w:eastAsia="zh-CN"/>
              </w:rPr>
              <w:t>项目布局</w:t>
            </w:r>
          </w:p>
          <w:p>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莫24H井</w:t>
            </w:r>
            <w:r>
              <w:rPr>
                <w:rFonts w:hint="default" w:ascii="Times New Roman" w:hAnsi="Times New Roman" w:eastAsia="宋体" w:cs="Times New Roman"/>
                <w:color w:val="auto"/>
                <w:highlight w:val="none"/>
              </w:rPr>
              <w:t>布设</w:t>
            </w:r>
            <w:r>
              <w:rPr>
                <w:rFonts w:hint="eastAsia" w:ascii="Times New Roman" w:hAnsi="Times New Roman" w:eastAsia="宋体" w:cs="Times New Roman"/>
                <w:color w:val="auto"/>
                <w:highlight w:val="none"/>
                <w:lang w:val="en-US" w:eastAsia="zh-CN"/>
              </w:rPr>
              <w:t>一座井场，钻前工程时钻井设备进场，完钻后钻井设备撤离，试油设备</w:t>
            </w:r>
            <w:r>
              <w:rPr>
                <w:rFonts w:hint="eastAsia" w:cs="Times New Roman"/>
                <w:color w:val="auto"/>
                <w:highlight w:val="none"/>
                <w:lang w:val="en-US" w:eastAsia="zh-CN"/>
              </w:rPr>
              <w:t>进场</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试油设备均在原钻井井场内布置，不新增占地。</w:t>
            </w:r>
            <w:r>
              <w:rPr>
                <w:rFonts w:hint="eastAsia" w:ascii="Times New Roman" w:hAnsi="Times New Roman" w:eastAsia="宋体" w:cs="Times New Roman"/>
                <w:color w:val="auto"/>
                <w:highlight w:val="none"/>
                <w:lang w:val="en-US" w:eastAsia="zh-CN"/>
              </w:rPr>
              <w:t>井场通过探临道路与现有道路连接；生活营地仅在钻井期设置，位于现有道路附近，通过喇叭口型道路和现有道路连接。</w:t>
            </w:r>
          </w:p>
          <w:p>
            <w:pPr>
              <w:snapToGrid w:val="0"/>
              <w:spacing w:line="500" w:lineRule="exact"/>
              <w:ind w:firstLine="480" w:firstLineChars="20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color w:val="auto"/>
                <w:highlight w:val="none"/>
                <w:lang w:val="en-US" w:eastAsia="zh-CN"/>
              </w:rPr>
              <w:t>项目占地全部为临时用地，总占地面</w:t>
            </w:r>
            <w:r>
              <w:rPr>
                <w:rFonts w:hint="eastAsia"/>
                <w:color w:val="auto"/>
                <w:highlight w:val="none"/>
                <w:lang w:val="en-US" w:eastAsia="zh-CN"/>
              </w:rPr>
              <w:t>积</w:t>
            </w:r>
            <w:r>
              <w:rPr>
                <w:rFonts w:hint="default"/>
                <w:color w:val="auto"/>
                <w:highlight w:val="none"/>
                <w:lang w:val="en-US" w:eastAsia="zh-CN"/>
              </w:rPr>
              <w:t>16829</w:t>
            </w:r>
            <w:r>
              <w:rPr>
                <w:rFonts w:hint="eastAsia"/>
                <w:color w:val="auto"/>
                <w:highlight w:val="none"/>
                <w:lang w:val="en-US" w:eastAsia="zh-CN"/>
              </w:rPr>
              <w:t>m</w:t>
            </w:r>
            <w:r>
              <w:rPr>
                <w:rFonts w:hint="eastAsia"/>
                <w:color w:val="auto"/>
                <w:highlight w:val="none"/>
                <w:vertAlign w:val="superscript"/>
                <w:lang w:val="en-US" w:eastAsia="zh-CN"/>
              </w:rPr>
              <w:t>2</w:t>
            </w:r>
            <w:r>
              <w:rPr>
                <w:rFonts w:hint="eastAsia"/>
                <w:color w:val="auto"/>
                <w:highlight w:val="none"/>
                <w:lang w:val="en-US" w:eastAsia="zh-CN"/>
              </w:rPr>
              <w:t>，</w:t>
            </w:r>
            <w:r>
              <w:rPr>
                <w:rFonts w:hint="eastAsia" w:ascii="Times New Roman" w:hAnsi="Times New Roman" w:eastAsia="宋体" w:cs="Times New Roman"/>
                <w:color w:val="auto"/>
                <w:highlight w:val="none"/>
                <w:lang w:val="en-US" w:eastAsia="zh-CN"/>
              </w:rPr>
              <w:t>其中井场临时占地12217m</w:t>
            </w:r>
            <w:r>
              <w:rPr>
                <w:rFonts w:hint="eastAsia" w:ascii="Times New Roman" w:hAnsi="Times New Roman" w:eastAsia="宋体" w:cs="Times New Roman"/>
                <w:color w:val="auto"/>
                <w:highlight w:val="none"/>
                <w:vertAlign w:val="superscript"/>
                <w:lang w:val="en-US" w:eastAsia="zh-CN"/>
              </w:rPr>
              <w:t>2</w:t>
            </w:r>
            <w:r>
              <w:rPr>
                <w:rFonts w:hint="eastAsia" w:ascii="Times New Roman" w:hAnsi="Times New Roman" w:eastAsia="宋体" w:cs="Times New Roman"/>
                <w:color w:val="auto"/>
                <w:highlight w:val="none"/>
                <w:lang w:val="en-US" w:eastAsia="zh-CN"/>
              </w:rPr>
              <w:t>，生活营地临时占地2950m</w:t>
            </w:r>
            <w:r>
              <w:rPr>
                <w:rFonts w:hint="eastAsia" w:ascii="Times New Roman" w:hAnsi="Times New Roman" w:eastAsia="宋体" w:cs="Times New Roman"/>
                <w:color w:val="auto"/>
                <w:highlight w:val="none"/>
                <w:vertAlign w:val="superscript"/>
                <w:lang w:val="en-US" w:eastAsia="zh-CN"/>
              </w:rPr>
              <w:t>2</w:t>
            </w:r>
            <w:r>
              <w:rPr>
                <w:rFonts w:hint="eastAsia" w:ascii="Times New Roman" w:hAnsi="Times New Roman" w:eastAsia="宋体" w:cs="Times New Roman"/>
                <w:color w:val="auto"/>
                <w:highlight w:val="none"/>
                <w:lang w:val="en-US" w:eastAsia="zh-CN"/>
              </w:rPr>
              <w:t>，探临道路临时占地1662m</w:t>
            </w:r>
            <w:r>
              <w:rPr>
                <w:rFonts w:hint="eastAsia" w:ascii="Times New Roman" w:hAnsi="Times New Roman" w:eastAsia="宋体" w:cs="Times New Roman"/>
                <w:color w:val="auto"/>
                <w:highlight w:val="none"/>
                <w:vertAlign w:val="superscript"/>
                <w:lang w:val="en-US" w:eastAsia="zh-CN"/>
              </w:rPr>
              <w:t>2</w:t>
            </w:r>
            <w:r>
              <w:rPr>
                <w:rFonts w:hint="eastAsia" w:ascii="Times New Roman" w:hAnsi="Times New Roman" w:eastAsia="宋体" w:cs="Times New Roman"/>
                <w:color w:val="auto"/>
                <w:highlight w:val="none"/>
                <w:lang w:val="en-US" w:eastAsia="zh-CN"/>
              </w:rPr>
              <w:t>。</w:t>
            </w:r>
            <w:r>
              <w:rPr>
                <w:rFonts w:hint="eastAsia" w:ascii="Times New Roman" w:hAnsi="Times New Roman" w:eastAsia="宋体" w:cs="Times New Roman"/>
                <w:b w:val="0"/>
                <w:bCs w:val="0"/>
                <w:color w:val="auto"/>
                <w:highlight w:val="none"/>
                <w:lang w:val="en-US" w:eastAsia="zh-CN"/>
              </w:rPr>
              <w:t>本项目工程布局见图2-1。</w:t>
            </w:r>
          </w:p>
          <w:p>
            <w:pPr>
              <w:snapToGrid w:val="0"/>
              <w:spacing w:line="240" w:lineRule="auto"/>
              <w:jc w:val="center"/>
              <w:rPr>
                <w:rFonts w:hint="eastAsia" w:ascii="Times New Roman" w:hAnsi="Times New Roman" w:eastAsia="宋体" w:cs="Times New Roman"/>
                <w:b w:val="0"/>
                <w:bCs w:val="0"/>
                <w:color w:val="auto"/>
                <w:highlight w:val="none"/>
                <w:lang w:val="en-US" w:eastAsia="zh-CN"/>
              </w:rPr>
            </w:pPr>
          </w:p>
          <w:p>
            <w:pPr>
              <w:pStyle w:val="56"/>
              <w:bidi w:val="0"/>
              <w:rPr>
                <w:rFonts w:hint="eastAsia"/>
                <w:lang w:eastAsia="zh-CN"/>
              </w:rPr>
            </w:pPr>
            <w:r>
              <w:rPr>
                <w:rFonts w:hint="eastAsia"/>
                <w:lang w:val="en-US" w:eastAsia="zh-CN"/>
              </w:rPr>
              <w:t>图2-1</w:t>
            </w:r>
            <w:r>
              <w:rPr>
                <w:rFonts w:hint="default"/>
              </w:rPr>
              <w:t xml:space="preserve">  </w:t>
            </w:r>
            <w:r>
              <w:rPr>
                <w:rFonts w:hint="default"/>
                <w:lang w:val="en-US" w:eastAsia="zh-CN"/>
              </w:rPr>
              <w:t>项目</w:t>
            </w:r>
            <w:r>
              <w:rPr>
                <w:rFonts w:hint="default"/>
              </w:rPr>
              <w:t>工程</w:t>
            </w:r>
            <w:r>
              <w:rPr>
                <w:rFonts w:hint="eastAsia"/>
                <w:lang w:val="en-US" w:eastAsia="zh-CN"/>
              </w:rPr>
              <w:t>布局示意图</w:t>
            </w:r>
          </w:p>
          <w:p>
            <w:pPr>
              <w:pStyle w:val="54"/>
              <w:numPr>
                <w:ilvl w:val="0"/>
                <w:numId w:val="7"/>
              </w:numPr>
              <w:bidi w:val="0"/>
              <w:ind w:left="9" w:leftChars="0" w:firstLineChars="0"/>
              <w:rPr>
                <w:rFonts w:hint="default"/>
                <w:color w:val="auto"/>
                <w:highlight w:val="none"/>
              </w:rPr>
            </w:pPr>
            <w:r>
              <w:rPr>
                <w:rFonts w:hint="default"/>
                <w:color w:val="auto"/>
                <w:highlight w:val="none"/>
              </w:rPr>
              <w:t>施工现场布置情况</w:t>
            </w:r>
          </w:p>
          <w:p>
            <w:pPr>
              <w:pStyle w:val="1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（1）钻井期井场平面布置</w:t>
            </w:r>
          </w:p>
          <w:p>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rPr>
                <w:rFonts w:hint="default" w:ascii="Times New Roman" w:hAnsi="Times New Roman" w:cs="Times New Roman"/>
                <w:b/>
                <w:bCs/>
                <w:color w:val="auto"/>
                <w:highlight w:val="none"/>
              </w:rPr>
            </w:pPr>
            <w:r>
              <w:rPr>
                <w:rFonts w:hint="default" w:ascii="Times New Roman" w:hAnsi="Times New Roman" w:cs="Times New Roman"/>
                <w:color w:val="auto"/>
                <w:highlight w:val="none"/>
              </w:rPr>
              <w:t>钻井期井场内布置有值班房、材料房、钳工房、录井房、配电房、发电房、罐区、钻井液不落地设备等。</w:t>
            </w:r>
            <w:r>
              <w:rPr>
                <w:rFonts w:hint="default" w:ascii="Times New Roman" w:hAnsi="Times New Roman" w:cs="Times New Roman"/>
                <w:color w:val="auto"/>
                <w:highlight w:val="none"/>
                <w:lang w:val="en-US" w:eastAsia="zh-CN"/>
              </w:rPr>
              <w:t>钻井井场</w:t>
            </w:r>
            <w:r>
              <w:rPr>
                <w:rFonts w:hint="default" w:ascii="Times New Roman" w:hAnsi="Times New Roman" w:cs="Times New Roman"/>
                <w:color w:val="auto"/>
                <w:highlight w:val="none"/>
              </w:rPr>
              <w:t>平面布置见</w:t>
            </w:r>
            <w:r>
              <w:rPr>
                <w:rFonts w:hint="eastAsia" w:cs="Times New Roman"/>
                <w:color w:val="auto"/>
                <w:highlight w:val="none"/>
                <w:lang w:val="en-US" w:eastAsia="zh-CN"/>
              </w:rPr>
              <w:t>附图5</w:t>
            </w:r>
            <w:r>
              <w:rPr>
                <w:rFonts w:hint="default" w:ascii="Times New Roman" w:hAnsi="Times New Roman" w:cs="Times New Roman"/>
                <w:b/>
                <w:bCs/>
                <w:color w:val="auto"/>
                <w:highlight w:val="none"/>
              </w:rPr>
              <w:t>。</w:t>
            </w:r>
          </w:p>
          <w:p>
            <w:pPr>
              <w:pStyle w:val="10"/>
              <w:bidi w:val="0"/>
              <w:jc w:val="both"/>
              <w:rPr>
                <w:rFonts w:hint="default"/>
                <w:color w:val="auto"/>
                <w:lang w:val="en-US" w:eastAsia="zh-CN"/>
              </w:rPr>
            </w:pPr>
            <w:bookmarkStart w:id="39" w:name="OLE_LINK52"/>
            <w:r>
              <w:rPr>
                <w:rFonts w:hint="eastAsia"/>
                <w:color w:val="auto"/>
                <w:lang w:val="en-US" w:eastAsia="zh-CN"/>
              </w:rPr>
              <w:t>项目井场布置方向依据道路位置建设。井场分为前后两部分。临近道路一侧井场为前井场，主要布置值班房、化验房和少量材料房，放置使用频率较低的材料；远离道路一侧为后井场，主要布置发电、配电房和柴油储罐等设施，由于远离井场入口，人员和车辆活动相对较少，可减少噪声的影响和环境风险。钻井设备位于井场中部，钻井液储罐、不落地设施、岩屑储罐区就近布置在井口周围，以减少场内运输距离。办公用房设置在入口位置，危废贮存点远离井口装置区、柴油储罐区和办公用房。井场内已有莫24井封井水泥墩，本次钻井井口避开现有水泥墩位置。井场分区明确，动线流畅，</w:t>
            </w:r>
            <w:r>
              <w:rPr>
                <w:rFonts w:hint="eastAsia" w:ascii="Times New Roman" w:eastAsia="宋体"/>
                <w:color w:val="auto"/>
                <w:lang w:val="en-US" w:eastAsia="zh-CN"/>
              </w:rPr>
              <w:t>保持防火距离，总体布置合理。</w:t>
            </w:r>
          </w:p>
          <w:bookmarkEnd w:id="39"/>
          <w:p>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（2）试油期井场平面布置</w:t>
            </w:r>
          </w:p>
          <w:p>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rPr>
                <w:rFonts w:hint="eastAsia" w:cs="Times New Roman"/>
                <w:color w:val="auto"/>
                <w:highlight w:val="none"/>
                <w:lang w:val="en-US" w:eastAsia="zh-CN"/>
              </w:rPr>
            </w:pPr>
            <w:r>
              <w:rPr>
                <w:rFonts w:hint="default" w:ascii="Times New Roman" w:hAnsi="Times New Roman" w:cs="Times New Roman"/>
                <w:color w:val="auto"/>
                <w:highlight w:val="none"/>
              </w:rPr>
              <w:t>试油期井场</w:t>
            </w:r>
            <w:r>
              <w:rPr>
                <w:rFonts w:hint="eastAsia" w:cs="Times New Roman"/>
                <w:color w:val="auto"/>
                <w:highlight w:val="none"/>
                <w:lang w:val="en-US" w:eastAsia="zh-CN"/>
              </w:rPr>
              <w:t>位于钻井井场占地面积内，面积约6108.5m</w:t>
            </w:r>
            <w:r>
              <w:rPr>
                <w:rFonts w:hint="eastAsia" w:cs="Times New Roman"/>
                <w:color w:val="auto"/>
                <w:highlight w:val="none"/>
                <w:vertAlign w:val="superscript"/>
                <w:lang w:val="en-US" w:eastAsia="zh-CN"/>
              </w:rPr>
              <w:t>2</w:t>
            </w:r>
            <w:r>
              <w:rPr>
                <w:rFonts w:hint="eastAsia" w:cs="Times New Roman"/>
                <w:color w:val="auto"/>
                <w:highlight w:val="none"/>
                <w:lang w:val="en-US" w:eastAsia="zh-CN"/>
              </w:rPr>
              <w:t>。比钻井井场面积小的原因为：</w:t>
            </w:r>
            <w:r>
              <w:rPr>
                <w:rFonts w:hint="eastAsia" w:ascii="Calibri" w:eastAsia="宋体"/>
                <w:color w:val="auto"/>
                <w:lang w:val="en-US" w:eastAsia="zh-CN"/>
              </w:rPr>
              <w:t>钻井设备需要钻机等较多设备及钻井材料、各类岩屑储罐存放场地等。试油井场设备较少，</w:t>
            </w:r>
            <w:r>
              <w:rPr>
                <w:rFonts w:hint="default" w:ascii="Times New Roman" w:hAnsi="Times New Roman" w:cs="Times New Roman"/>
                <w:color w:val="auto"/>
                <w:highlight w:val="none"/>
              </w:rPr>
              <w:t>布置有井口方罐、发电房、值班房、井口放喷管线、应急放喷池、消防沙箱等设施</w:t>
            </w:r>
            <w:r>
              <w:rPr>
                <w:rFonts w:hint="eastAsia" w:cs="Times New Roman"/>
                <w:color w:val="auto"/>
                <w:highlight w:val="none"/>
                <w:lang w:eastAsia="zh-CN"/>
              </w:rPr>
              <w:t>。</w:t>
            </w:r>
            <w:r>
              <w:rPr>
                <w:rFonts w:hint="default" w:ascii="Times New Roman" w:hAnsi="Times New Roman" w:cs="Times New Roman"/>
                <w:color w:val="auto"/>
                <w:highlight w:val="none"/>
              </w:rPr>
              <w:t>井场设置</w:t>
            </w:r>
            <w:r>
              <w:rPr>
                <w:rFonts w:hint="eastAsia" w:cs="Times New Roman"/>
                <w:color w:val="auto"/>
                <w:highlight w:val="none"/>
                <w:lang w:val="en-US" w:eastAsia="zh-CN"/>
              </w:rPr>
              <w:t>有</w:t>
            </w:r>
            <w:r>
              <w:rPr>
                <w:rFonts w:hint="default" w:ascii="Times New Roman" w:hAnsi="Times New Roman" w:cs="Times New Roman"/>
                <w:color w:val="auto"/>
                <w:highlight w:val="none"/>
              </w:rPr>
              <w:t>紧急集合点。</w:t>
            </w:r>
            <w:r>
              <w:rPr>
                <w:rFonts w:hint="default" w:ascii="Times New Roman" w:hAnsi="Times New Roman" w:cs="Times New Roman"/>
                <w:color w:val="auto"/>
                <w:highlight w:val="none"/>
                <w:lang w:val="en-US" w:eastAsia="zh-CN"/>
              </w:rPr>
              <w:t>试油井场</w:t>
            </w:r>
            <w:r>
              <w:rPr>
                <w:rFonts w:hint="default" w:ascii="Times New Roman" w:hAnsi="Times New Roman" w:cs="Times New Roman"/>
                <w:color w:val="auto"/>
                <w:highlight w:val="none"/>
              </w:rPr>
              <w:t>平面布置</w:t>
            </w:r>
            <w:r>
              <w:rPr>
                <w:rFonts w:hint="eastAsia" w:cs="Times New Roman"/>
                <w:color w:val="auto"/>
                <w:highlight w:val="none"/>
                <w:lang w:val="en-US" w:eastAsia="zh-CN"/>
              </w:rPr>
              <w:t>见附图6。</w:t>
            </w:r>
          </w:p>
          <w:p>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rPr>
                <w:rFonts w:hint="eastAsia" w:cs="Times New Roman"/>
                <w:color w:val="auto"/>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8" w:type="pct"/>
            <w:vAlign w:val="center"/>
          </w:tcPr>
          <w:p>
            <w:pPr>
              <w:snapToGrid w:val="0"/>
              <w:spacing w:line="50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施工方案</w:t>
            </w:r>
          </w:p>
        </w:tc>
        <w:tc>
          <w:tcPr>
            <w:tcW w:w="4771" w:type="pct"/>
          </w:tcPr>
          <w:p>
            <w:pPr>
              <w:pStyle w:val="54"/>
              <w:numPr>
                <w:ilvl w:val="0"/>
                <w:numId w:val="9"/>
              </w:numPr>
              <w:bidi w:val="0"/>
              <w:ind w:left="9" w:leftChars="0" w:firstLineChars="0"/>
              <w:rPr>
                <w:rFonts w:hint="default"/>
                <w:color w:val="auto"/>
                <w:highlight w:val="none"/>
              </w:rPr>
            </w:pPr>
            <w:r>
              <w:rPr>
                <w:rFonts w:hint="default"/>
                <w:color w:val="auto"/>
                <w:highlight w:val="none"/>
              </w:rPr>
              <w:t>施工时序及工艺</w:t>
            </w:r>
          </w:p>
          <w:p>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施工时序依次为钻前工程、钻井工程、试油工程和完井四个阶段。</w:t>
            </w:r>
          </w:p>
          <w:p>
            <w:pPr>
              <w:keepNext w:val="0"/>
              <w:keepLines w:val="0"/>
              <w:pageBreakBefore w:val="0"/>
              <w:widowControl w:val="0"/>
              <w:kinsoku/>
              <w:wordWrap/>
              <w:overflowPunct/>
              <w:topLinePunct w:val="0"/>
              <w:autoSpaceDE/>
              <w:autoSpaceDN/>
              <w:bidi w:val="0"/>
              <w:adjustRightInd/>
              <w:snapToGrid w:val="0"/>
              <w:spacing w:line="36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lang w:eastAsia="zh-CN"/>
              </w:rPr>
              <w:drawing>
                <wp:inline distT="0" distB="0" distL="114300" distR="114300">
                  <wp:extent cx="4537075" cy="931545"/>
                  <wp:effectExtent l="0" t="0" r="15875" b="1905"/>
                  <wp:docPr id="117" name="图片 117" descr="勘探井工艺流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勘探井工艺流程"/>
                          <pic:cNvPicPr>
                            <a:picLocks noChangeAspect="1"/>
                          </pic:cNvPicPr>
                        </pic:nvPicPr>
                        <pic:blipFill>
                          <a:blip r:embed="rId8"/>
                          <a:srcRect t="11180" b="13241"/>
                          <a:stretch>
                            <a:fillRect/>
                          </a:stretch>
                        </pic:blipFill>
                        <pic:spPr>
                          <a:xfrm>
                            <a:off x="0" y="0"/>
                            <a:ext cx="4537075" cy="931545"/>
                          </a:xfrm>
                          <a:prstGeom prst="rect">
                            <a:avLst/>
                          </a:prstGeom>
                        </pic:spPr>
                      </pic:pic>
                    </a:graphicData>
                  </a:graphic>
                </wp:inline>
              </w:drawing>
            </w:r>
          </w:p>
          <w:p>
            <w:pPr>
              <w:pStyle w:val="56"/>
              <w:bidi w:val="0"/>
              <w:rPr>
                <w:rFonts w:hint="default"/>
                <w:color w:val="auto"/>
                <w:highlight w:val="none"/>
              </w:rPr>
            </w:pPr>
            <w:r>
              <w:rPr>
                <w:rFonts w:hint="default"/>
                <w:color w:val="auto"/>
                <w:highlight w:val="none"/>
              </w:rPr>
              <w:t>图</w:t>
            </w:r>
            <w:r>
              <w:rPr>
                <w:rFonts w:hint="default"/>
                <w:color w:val="auto"/>
                <w:highlight w:val="none"/>
                <w:lang w:val="en-US" w:eastAsia="zh-CN"/>
              </w:rPr>
              <w:t>2-</w:t>
            </w:r>
            <w:r>
              <w:rPr>
                <w:rFonts w:hint="eastAsia"/>
                <w:color w:val="auto"/>
                <w:highlight w:val="none"/>
                <w:lang w:val="en-US" w:eastAsia="zh-CN"/>
              </w:rPr>
              <w:t>2</w:t>
            </w:r>
            <w:r>
              <w:rPr>
                <w:rFonts w:hint="default"/>
                <w:color w:val="auto"/>
                <w:highlight w:val="none"/>
                <w:lang w:val="en-US" w:eastAsia="zh-CN"/>
              </w:rPr>
              <w:t xml:space="preserve">  本项目总体</w:t>
            </w:r>
            <w:r>
              <w:rPr>
                <w:rFonts w:hint="default"/>
                <w:color w:val="auto"/>
                <w:highlight w:val="none"/>
              </w:rPr>
              <w:t>工艺流程和产污环节示意图</w:t>
            </w:r>
          </w:p>
          <w:p>
            <w:pPr>
              <w:snapToGrid w:val="0"/>
              <w:spacing w:line="500" w:lineRule="exact"/>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（1）钻前工程</w:t>
            </w:r>
          </w:p>
          <w:p>
            <w:pPr>
              <w:snapToGrid w:val="0"/>
              <w:spacing w:line="500" w:lineRule="exact"/>
              <w:ind w:firstLine="480" w:firstLineChars="20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包括井场平整、铺垫、钻机基础建设、探临道路和生活营地建设，以及设备进场。</w:t>
            </w:r>
            <w:bookmarkStart w:id="40" w:name="OLE_LINK50"/>
            <w:bookmarkStart w:id="41" w:name="OLE_LINK51"/>
            <w:r>
              <w:rPr>
                <w:rFonts w:hint="eastAsia" w:cs="Times New Roman"/>
                <w:color w:val="auto"/>
                <w:highlight w:val="none"/>
                <w:lang w:val="en-US" w:eastAsia="zh-CN"/>
              </w:rPr>
              <w:t>井架基础采用混凝土浇筑。工艺流程为：场地平整、放线、支模板、浇筑混凝土、养护、拆除模板。其他设备基础是在原地面进行清理、找平，铺设砂砾石垫层并压实。</w:t>
            </w:r>
            <w:bookmarkEnd w:id="40"/>
            <w:r>
              <w:rPr>
                <w:rFonts w:hint="eastAsia" w:cs="Times New Roman"/>
                <w:color w:val="auto"/>
                <w:highlight w:val="none"/>
                <w:lang w:val="en-US" w:eastAsia="zh-CN"/>
              </w:rPr>
              <w:t>项目混凝土用量较少，就近自商砼站购买。</w:t>
            </w:r>
            <w:bookmarkEnd w:id="41"/>
          </w:p>
          <w:p>
            <w:pPr>
              <w:snapToGrid w:val="0"/>
              <w:spacing w:line="500" w:lineRule="exact"/>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（2）钻井工程</w:t>
            </w:r>
          </w:p>
          <w:p>
            <w:pPr>
              <w:snapToGrid w:val="0"/>
              <w:spacing w:line="500" w:lineRule="exact"/>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①钻井流程</w:t>
            </w:r>
          </w:p>
          <w:p>
            <w:pPr>
              <w:snapToGrid w:val="0"/>
              <w:spacing w:line="500" w:lineRule="exact"/>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钻前准备工作完成后即可开展钻井工作。钻井是破岩和加深井眼的过程，首先埋设导管后钻达下表层套管深度后，再下入表层套管并固井试压；然后继续钻进，待安全钻达目标深度后下油层套管；施工中根据钻井设计要求，进行测井、录井、固井等其他作业。</w:t>
            </w:r>
          </w:p>
          <w:p>
            <w:pPr>
              <w:snapToGrid w:val="0"/>
              <w:spacing w:line="500" w:lineRule="exact"/>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②井身结构</w:t>
            </w:r>
          </w:p>
          <w:p>
            <w:pPr>
              <w:snapToGrid w:val="0"/>
              <w:spacing w:line="500" w:lineRule="exact"/>
              <w:ind w:firstLine="480" w:firstLineChars="200"/>
              <w:rPr>
                <w:rFonts w:hint="default" w:ascii="Times New Roman" w:hAnsi="Times New Roman" w:cs="Times New Roman"/>
                <w:color w:val="auto"/>
                <w:highlight w:val="none"/>
              </w:rPr>
            </w:pPr>
            <w:r>
              <w:rPr>
                <w:rFonts w:hint="eastAsia" w:cs="Times New Roman"/>
                <w:color w:val="auto"/>
                <w:highlight w:val="none"/>
                <w:lang w:val="en-US" w:eastAsia="zh-CN"/>
              </w:rPr>
              <w:t>莫24H井</w:t>
            </w:r>
            <w:r>
              <w:rPr>
                <w:rFonts w:hint="default" w:ascii="Times New Roman" w:hAnsi="Times New Roman" w:cs="Times New Roman"/>
                <w:color w:val="auto"/>
                <w:highlight w:val="none"/>
              </w:rPr>
              <w:t>钻井进尺</w:t>
            </w:r>
            <w:r>
              <w:rPr>
                <w:rFonts w:hint="eastAsia" w:cs="Times New Roman"/>
                <w:color w:val="auto"/>
                <w:highlight w:val="none"/>
                <w:lang w:val="en-US" w:eastAsia="zh-CN"/>
              </w:rPr>
              <w:t>6089</w:t>
            </w:r>
            <w:r>
              <w:rPr>
                <w:rFonts w:hint="default" w:ascii="Times New Roman" w:hAnsi="Times New Roman" w:cs="Times New Roman"/>
                <w:color w:val="auto"/>
                <w:highlight w:val="none"/>
              </w:rPr>
              <w:t>m，采用</w:t>
            </w:r>
            <w:r>
              <w:rPr>
                <w:rFonts w:hint="eastAsia" w:cs="Times New Roman"/>
                <w:color w:val="auto"/>
                <w:highlight w:val="none"/>
                <w:lang w:val="en-US" w:eastAsia="zh-CN"/>
              </w:rPr>
              <w:t>三开水平井</w:t>
            </w:r>
            <w:r>
              <w:rPr>
                <w:rFonts w:hint="default" w:ascii="Times New Roman" w:hAnsi="Times New Roman" w:cs="Times New Roman"/>
                <w:color w:val="auto"/>
                <w:highlight w:val="none"/>
              </w:rPr>
              <w:t>井身结构，设计参数见表</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3，井身结构见</w:t>
            </w:r>
            <w:r>
              <w:rPr>
                <w:rFonts w:hint="eastAsia" w:cs="Times New Roman"/>
                <w:color w:val="auto"/>
                <w:highlight w:val="none"/>
                <w:lang w:val="en-US" w:eastAsia="zh-CN"/>
              </w:rPr>
              <w:t>附图7</w:t>
            </w:r>
            <w:r>
              <w:rPr>
                <w:rFonts w:hint="default" w:ascii="Times New Roman" w:hAnsi="Times New Roman" w:cs="Times New Roman"/>
                <w:color w:val="auto"/>
                <w:highlight w:val="none"/>
              </w:rPr>
              <w:t>。</w:t>
            </w:r>
          </w:p>
          <w:p>
            <w:pPr>
              <w:pStyle w:val="56"/>
              <w:bidi w:val="0"/>
              <w:rPr>
                <w:rFonts w:hint="default"/>
                <w:color w:val="auto"/>
                <w:highlight w:val="none"/>
              </w:rPr>
            </w:pPr>
            <w:r>
              <w:rPr>
                <w:rFonts w:hint="default"/>
                <w:color w:val="auto"/>
                <w:highlight w:val="none"/>
              </w:rPr>
              <w:t>表</w:t>
            </w:r>
            <w:r>
              <w:rPr>
                <w:rFonts w:hint="default"/>
                <w:color w:val="auto"/>
                <w:highlight w:val="none"/>
                <w:lang w:val="en-US" w:eastAsia="zh-CN"/>
              </w:rPr>
              <w:t>2-</w:t>
            </w:r>
            <w:r>
              <w:rPr>
                <w:rFonts w:hint="default"/>
                <w:color w:val="auto"/>
                <w:highlight w:val="none"/>
              </w:rPr>
              <w:t>3  井身结构设计参数一览表</w:t>
            </w:r>
          </w:p>
          <w:tbl>
            <w:tblPr>
              <w:tblStyle w:val="2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1015"/>
              <w:gridCol w:w="875"/>
              <w:gridCol w:w="1089"/>
              <w:gridCol w:w="982"/>
              <w:gridCol w:w="1184"/>
              <w:gridCol w:w="1352"/>
              <w:gridCol w:w="135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0" w:hRule="atLeast"/>
                <w:jc w:val="center"/>
              </w:trPr>
              <w:tc>
                <w:tcPr>
                  <w:tcW w:w="646" w:type="pct"/>
                  <w:vAlign w:val="center"/>
                </w:tcPr>
                <w:p>
                  <w:pPr>
                    <w:pStyle w:val="35"/>
                    <w:bidi w:val="0"/>
                    <w:rPr>
                      <w:rFonts w:hint="default"/>
                      <w:color w:val="auto"/>
                      <w:highlight w:val="none"/>
                    </w:rPr>
                  </w:pPr>
                  <w:bookmarkStart w:id="42" w:name="_Hlk167964015"/>
                  <w:r>
                    <w:rPr>
                      <w:rFonts w:hint="default"/>
                      <w:color w:val="auto"/>
                      <w:highlight w:val="none"/>
                    </w:rPr>
                    <w:t>井号</w:t>
                  </w:r>
                </w:p>
              </w:tc>
              <w:tc>
                <w:tcPr>
                  <w:tcW w:w="557" w:type="pct"/>
                  <w:tcMar>
                    <w:top w:w="57" w:type="dxa"/>
                  </w:tcMar>
                  <w:vAlign w:val="center"/>
                </w:tcPr>
                <w:p>
                  <w:pPr>
                    <w:pStyle w:val="35"/>
                    <w:bidi w:val="0"/>
                    <w:rPr>
                      <w:rFonts w:hint="default"/>
                      <w:color w:val="auto"/>
                      <w:highlight w:val="none"/>
                    </w:rPr>
                  </w:pPr>
                  <w:r>
                    <w:rPr>
                      <w:rFonts w:hint="default"/>
                      <w:color w:val="auto"/>
                      <w:highlight w:val="none"/>
                    </w:rPr>
                    <w:t>开钻次序</w:t>
                  </w:r>
                </w:p>
              </w:tc>
              <w:tc>
                <w:tcPr>
                  <w:tcW w:w="693" w:type="pct"/>
                  <w:tcMar>
                    <w:top w:w="57" w:type="dxa"/>
                  </w:tcMar>
                  <w:vAlign w:val="center"/>
                </w:tcPr>
                <w:p>
                  <w:pPr>
                    <w:pStyle w:val="35"/>
                    <w:bidi w:val="0"/>
                    <w:rPr>
                      <w:rFonts w:hint="default"/>
                      <w:color w:val="auto"/>
                      <w:highlight w:val="none"/>
                    </w:rPr>
                  </w:pPr>
                  <w:r>
                    <w:rPr>
                      <w:rFonts w:hint="default"/>
                      <w:color w:val="auto"/>
                      <w:highlight w:val="none"/>
                    </w:rPr>
                    <w:t>井深</w:t>
                  </w:r>
                </w:p>
                <w:p>
                  <w:pPr>
                    <w:pStyle w:val="35"/>
                    <w:bidi w:val="0"/>
                    <w:rPr>
                      <w:rFonts w:hint="default"/>
                      <w:color w:val="auto"/>
                      <w:highlight w:val="none"/>
                    </w:rPr>
                  </w:pPr>
                  <w:r>
                    <w:rPr>
                      <w:rFonts w:hint="eastAsia"/>
                      <w:color w:val="auto"/>
                      <w:highlight w:val="none"/>
                      <w:lang w:eastAsia="zh-CN"/>
                    </w:rPr>
                    <w:t>(</w:t>
                  </w:r>
                  <w:r>
                    <w:rPr>
                      <w:rFonts w:hint="default"/>
                      <w:color w:val="auto"/>
                      <w:highlight w:val="none"/>
                    </w:rPr>
                    <w:t>m</w:t>
                  </w:r>
                  <w:r>
                    <w:rPr>
                      <w:rFonts w:hint="eastAsia"/>
                      <w:color w:val="auto"/>
                      <w:highlight w:val="none"/>
                      <w:lang w:eastAsia="zh-CN"/>
                    </w:rPr>
                    <w:t>)</w:t>
                  </w:r>
                </w:p>
              </w:tc>
              <w:tc>
                <w:tcPr>
                  <w:tcW w:w="625" w:type="pct"/>
                  <w:tcMar>
                    <w:top w:w="57" w:type="dxa"/>
                  </w:tcMar>
                  <w:vAlign w:val="center"/>
                </w:tcPr>
                <w:p>
                  <w:pPr>
                    <w:pStyle w:val="35"/>
                    <w:bidi w:val="0"/>
                    <w:rPr>
                      <w:rFonts w:hint="default"/>
                      <w:color w:val="auto"/>
                      <w:highlight w:val="none"/>
                    </w:rPr>
                  </w:pPr>
                  <w:r>
                    <w:rPr>
                      <w:rFonts w:hint="default"/>
                      <w:color w:val="auto"/>
                      <w:highlight w:val="none"/>
                    </w:rPr>
                    <w:t>钻头尺寸</w:t>
                  </w:r>
                </w:p>
                <w:p>
                  <w:pPr>
                    <w:pStyle w:val="35"/>
                    <w:bidi w:val="0"/>
                    <w:rPr>
                      <w:rFonts w:hint="default"/>
                      <w:color w:val="auto"/>
                      <w:highlight w:val="none"/>
                    </w:rPr>
                  </w:pPr>
                  <w:r>
                    <w:rPr>
                      <w:rFonts w:hint="eastAsia"/>
                      <w:color w:val="auto"/>
                      <w:highlight w:val="none"/>
                      <w:lang w:eastAsia="zh-CN"/>
                    </w:rPr>
                    <w:t>(</w:t>
                  </w:r>
                  <w:r>
                    <w:rPr>
                      <w:rFonts w:hint="default"/>
                      <w:color w:val="auto"/>
                      <w:highlight w:val="none"/>
                    </w:rPr>
                    <w:t>mm</w:t>
                  </w:r>
                  <w:r>
                    <w:rPr>
                      <w:rFonts w:hint="eastAsia"/>
                      <w:color w:val="auto"/>
                      <w:highlight w:val="none"/>
                      <w:lang w:eastAsia="zh-CN"/>
                    </w:rPr>
                    <w:t>)</w:t>
                  </w:r>
                </w:p>
              </w:tc>
              <w:tc>
                <w:tcPr>
                  <w:tcW w:w="754" w:type="pct"/>
                  <w:tcMar>
                    <w:top w:w="57" w:type="dxa"/>
                  </w:tcMar>
                  <w:vAlign w:val="center"/>
                </w:tcPr>
                <w:p>
                  <w:pPr>
                    <w:pStyle w:val="35"/>
                    <w:bidi w:val="0"/>
                    <w:rPr>
                      <w:rFonts w:hint="default"/>
                      <w:color w:val="auto"/>
                      <w:highlight w:val="none"/>
                    </w:rPr>
                  </w:pPr>
                  <w:r>
                    <w:rPr>
                      <w:rFonts w:hint="default"/>
                      <w:color w:val="auto"/>
                      <w:highlight w:val="none"/>
                    </w:rPr>
                    <w:t>套管尺寸（mm）</w:t>
                  </w:r>
                </w:p>
              </w:tc>
              <w:tc>
                <w:tcPr>
                  <w:tcW w:w="861" w:type="pct"/>
                  <w:tcMar>
                    <w:top w:w="57" w:type="dxa"/>
                  </w:tcMar>
                  <w:vAlign w:val="center"/>
                </w:tcPr>
                <w:p>
                  <w:pPr>
                    <w:pStyle w:val="35"/>
                    <w:bidi w:val="0"/>
                    <w:rPr>
                      <w:rFonts w:hint="default"/>
                      <w:color w:val="auto"/>
                      <w:highlight w:val="none"/>
                    </w:rPr>
                  </w:pPr>
                  <w:r>
                    <w:rPr>
                      <w:rFonts w:hint="default"/>
                      <w:color w:val="auto"/>
                      <w:highlight w:val="none"/>
                    </w:rPr>
                    <w:t>套管下入深度（m）</w:t>
                  </w:r>
                </w:p>
              </w:tc>
              <w:tc>
                <w:tcPr>
                  <w:tcW w:w="861" w:type="pct"/>
                  <w:tcMar>
                    <w:top w:w="57" w:type="dxa"/>
                  </w:tcMar>
                  <w:vAlign w:val="center"/>
                </w:tcPr>
                <w:p>
                  <w:pPr>
                    <w:pStyle w:val="35"/>
                    <w:bidi w:val="0"/>
                    <w:rPr>
                      <w:rFonts w:hint="default" w:eastAsia="宋体"/>
                      <w:color w:val="auto"/>
                      <w:highlight w:val="none"/>
                      <w:lang w:val="en-US" w:eastAsia="zh-CN"/>
                    </w:rPr>
                  </w:pPr>
                  <w:r>
                    <w:rPr>
                      <w:rFonts w:hint="eastAsia"/>
                      <w:color w:val="auto"/>
                      <w:highlight w:val="none"/>
                      <w:lang w:val="en-US" w:eastAsia="zh-CN"/>
                    </w:rPr>
                    <w:t>水泥返高</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0" w:hRule="atLeast"/>
                <w:jc w:val="center"/>
              </w:trPr>
              <w:tc>
                <w:tcPr>
                  <w:tcW w:w="646" w:type="pct"/>
                  <w:vMerge w:val="restart"/>
                  <w:vAlign w:val="center"/>
                </w:tcPr>
                <w:p>
                  <w:pPr>
                    <w:pStyle w:val="35"/>
                    <w:bidi w:val="0"/>
                    <w:rPr>
                      <w:rFonts w:hint="default"/>
                      <w:color w:val="auto"/>
                      <w:highlight w:val="none"/>
                    </w:rPr>
                  </w:pPr>
                  <w:r>
                    <w:rPr>
                      <w:rFonts w:hint="eastAsia"/>
                      <w:color w:val="auto"/>
                      <w:highlight w:val="none"/>
                      <w:lang w:val="en-US" w:eastAsia="zh-CN"/>
                    </w:rPr>
                    <w:t>莫24H井</w:t>
                  </w:r>
                </w:p>
              </w:tc>
              <w:tc>
                <w:tcPr>
                  <w:tcW w:w="557" w:type="pct"/>
                  <w:tcMar>
                    <w:top w:w="57" w:type="dxa"/>
                  </w:tcMar>
                  <w:vAlign w:val="center"/>
                </w:tcPr>
                <w:p>
                  <w:pPr>
                    <w:pStyle w:val="35"/>
                    <w:bidi w:val="0"/>
                    <w:rPr>
                      <w:rFonts w:hint="default"/>
                      <w:color w:val="auto"/>
                      <w:highlight w:val="none"/>
                    </w:rPr>
                  </w:pPr>
                  <w:r>
                    <w:rPr>
                      <w:rFonts w:hint="default"/>
                      <w:color w:val="auto"/>
                      <w:highlight w:val="none"/>
                    </w:rPr>
                    <w:t>一开</w:t>
                  </w:r>
                </w:p>
              </w:tc>
              <w:tc>
                <w:tcPr>
                  <w:tcW w:w="693" w:type="pct"/>
                  <w:tcMar>
                    <w:top w:w="57" w:type="dxa"/>
                  </w:tcMar>
                  <w:vAlign w:val="center"/>
                </w:tcPr>
                <w:p>
                  <w:pPr>
                    <w:pStyle w:val="35"/>
                    <w:bidi w:val="0"/>
                    <w:rPr>
                      <w:rFonts w:hint="default"/>
                      <w:color w:val="auto"/>
                      <w:highlight w:val="none"/>
                    </w:rPr>
                  </w:pPr>
                  <w:r>
                    <w:rPr>
                      <w:rFonts w:hint="default"/>
                      <w:color w:val="auto"/>
                      <w:highlight w:val="none"/>
                    </w:rPr>
                    <w:t>0～</w:t>
                  </w:r>
                  <w:r>
                    <w:rPr>
                      <w:rFonts w:hint="eastAsia"/>
                      <w:color w:val="auto"/>
                      <w:highlight w:val="none"/>
                      <w:lang w:val="en-US" w:eastAsia="zh-CN"/>
                    </w:rPr>
                    <w:t>952</w:t>
                  </w:r>
                </w:p>
              </w:tc>
              <w:tc>
                <w:tcPr>
                  <w:tcW w:w="625" w:type="pct"/>
                  <w:tcMar>
                    <w:top w:w="57" w:type="dxa"/>
                  </w:tcMar>
                  <w:vAlign w:val="center"/>
                </w:tcPr>
                <w:p>
                  <w:pPr>
                    <w:pStyle w:val="35"/>
                    <w:bidi w:val="0"/>
                    <w:rPr>
                      <w:rFonts w:hint="default"/>
                      <w:color w:val="auto"/>
                      <w:highlight w:val="none"/>
                      <w:lang w:val="en-US" w:eastAsia="zh-CN"/>
                    </w:rPr>
                  </w:pPr>
                  <w:r>
                    <w:rPr>
                      <w:rFonts w:hint="default"/>
                      <w:color w:val="auto"/>
                      <w:highlight w:val="none"/>
                      <w:lang w:val="en-US" w:eastAsia="zh-CN"/>
                    </w:rPr>
                    <w:t>444.5</w:t>
                  </w:r>
                </w:p>
              </w:tc>
              <w:tc>
                <w:tcPr>
                  <w:tcW w:w="754" w:type="pct"/>
                  <w:tcMar>
                    <w:top w:w="57" w:type="dxa"/>
                  </w:tcMar>
                  <w:vAlign w:val="center"/>
                </w:tcPr>
                <w:p>
                  <w:pPr>
                    <w:pStyle w:val="35"/>
                    <w:bidi w:val="0"/>
                    <w:rPr>
                      <w:rFonts w:hint="default" w:eastAsia="宋体"/>
                      <w:color w:val="auto"/>
                      <w:highlight w:val="none"/>
                      <w:lang w:val="en-US" w:eastAsia="zh-CN"/>
                    </w:rPr>
                  </w:pPr>
                  <w:r>
                    <w:rPr>
                      <w:rFonts w:hint="eastAsia"/>
                      <w:color w:val="auto"/>
                      <w:highlight w:val="none"/>
                      <w:lang w:val="en-US" w:eastAsia="zh-CN"/>
                    </w:rPr>
                    <w:t>339.7</w:t>
                  </w:r>
                </w:p>
              </w:tc>
              <w:tc>
                <w:tcPr>
                  <w:tcW w:w="861" w:type="pct"/>
                  <w:tcMar>
                    <w:top w:w="57" w:type="dxa"/>
                  </w:tcMar>
                  <w:vAlign w:val="center"/>
                </w:tcPr>
                <w:p>
                  <w:pPr>
                    <w:pStyle w:val="35"/>
                    <w:bidi w:val="0"/>
                    <w:rPr>
                      <w:rFonts w:hint="default"/>
                      <w:color w:val="auto"/>
                      <w:highlight w:val="none"/>
                      <w:lang w:val="en-US"/>
                    </w:rPr>
                  </w:pPr>
                  <w:r>
                    <w:rPr>
                      <w:rFonts w:hint="eastAsia"/>
                      <w:color w:val="auto"/>
                      <w:highlight w:val="none"/>
                      <w:lang w:val="en-US" w:eastAsia="zh-CN"/>
                    </w:rPr>
                    <w:t>950</w:t>
                  </w:r>
                </w:p>
              </w:tc>
              <w:tc>
                <w:tcPr>
                  <w:tcW w:w="861" w:type="pct"/>
                  <w:tcMar>
                    <w:top w:w="57" w:type="dxa"/>
                  </w:tcMar>
                  <w:vAlign w:val="center"/>
                </w:tcPr>
                <w:p>
                  <w:pPr>
                    <w:pStyle w:val="35"/>
                    <w:bidi w:val="0"/>
                    <w:rPr>
                      <w:rFonts w:hint="default"/>
                      <w:color w:val="auto"/>
                      <w:highlight w:val="none"/>
                      <w:lang w:val="en-US" w:eastAsia="zh-CN"/>
                    </w:rPr>
                  </w:pPr>
                  <w:r>
                    <w:rPr>
                      <w:rFonts w:hint="eastAsia"/>
                      <w:color w:val="auto"/>
                      <w:highlight w:val="none"/>
                      <w:lang w:val="en-US" w:eastAsia="zh-CN"/>
                    </w:rPr>
                    <w:t>地面</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0" w:hRule="atLeast"/>
                <w:jc w:val="center"/>
              </w:trPr>
              <w:tc>
                <w:tcPr>
                  <w:tcW w:w="646" w:type="pct"/>
                  <w:vMerge w:val="continue"/>
                  <w:vAlign w:val="center"/>
                </w:tcPr>
                <w:p>
                  <w:pPr>
                    <w:pStyle w:val="35"/>
                    <w:bidi w:val="0"/>
                    <w:rPr>
                      <w:rFonts w:hint="default"/>
                      <w:color w:val="auto"/>
                      <w:highlight w:val="none"/>
                    </w:rPr>
                  </w:pPr>
                </w:p>
              </w:tc>
              <w:tc>
                <w:tcPr>
                  <w:tcW w:w="557" w:type="pct"/>
                  <w:tcMar>
                    <w:top w:w="57" w:type="dxa"/>
                  </w:tcMar>
                  <w:vAlign w:val="center"/>
                </w:tcPr>
                <w:p>
                  <w:pPr>
                    <w:pStyle w:val="35"/>
                    <w:bidi w:val="0"/>
                    <w:rPr>
                      <w:rFonts w:hint="default"/>
                      <w:color w:val="auto"/>
                      <w:highlight w:val="none"/>
                    </w:rPr>
                  </w:pPr>
                  <w:r>
                    <w:rPr>
                      <w:rFonts w:hint="default"/>
                      <w:color w:val="auto"/>
                      <w:highlight w:val="none"/>
                    </w:rPr>
                    <w:t>二开</w:t>
                  </w:r>
                </w:p>
              </w:tc>
              <w:tc>
                <w:tcPr>
                  <w:tcW w:w="693" w:type="pct"/>
                  <w:tcMar>
                    <w:top w:w="57" w:type="dxa"/>
                  </w:tcMar>
                  <w:vAlign w:val="center"/>
                </w:tcPr>
                <w:p>
                  <w:pPr>
                    <w:pStyle w:val="35"/>
                    <w:bidi w:val="0"/>
                    <w:rPr>
                      <w:rFonts w:hint="default"/>
                      <w:color w:val="auto"/>
                      <w:highlight w:val="none"/>
                    </w:rPr>
                  </w:pPr>
                  <w:r>
                    <w:rPr>
                      <w:color w:val="auto"/>
                      <w:highlight w:val="none"/>
                    </w:rPr>
                    <w:t>～</w:t>
                  </w:r>
                  <w:r>
                    <w:rPr>
                      <w:rFonts w:hint="eastAsia"/>
                      <w:color w:val="auto"/>
                      <w:highlight w:val="none"/>
                      <w:lang w:val="en-US" w:eastAsia="zh-CN"/>
                    </w:rPr>
                    <w:t>3522</w:t>
                  </w:r>
                </w:p>
              </w:tc>
              <w:tc>
                <w:tcPr>
                  <w:tcW w:w="625" w:type="pct"/>
                  <w:tcMar>
                    <w:top w:w="57" w:type="dxa"/>
                  </w:tcMar>
                  <w:vAlign w:val="center"/>
                </w:tcPr>
                <w:p>
                  <w:pPr>
                    <w:pStyle w:val="35"/>
                    <w:bidi w:val="0"/>
                    <w:rPr>
                      <w:rFonts w:hint="default"/>
                      <w:color w:val="auto"/>
                      <w:highlight w:val="none"/>
                      <w:lang w:val="en-US" w:eastAsia="zh-CN"/>
                    </w:rPr>
                  </w:pPr>
                  <w:r>
                    <w:rPr>
                      <w:rFonts w:hint="default"/>
                      <w:color w:val="auto"/>
                      <w:highlight w:val="none"/>
                      <w:lang w:val="en-US" w:eastAsia="zh-CN"/>
                    </w:rPr>
                    <w:t>311.2</w:t>
                  </w:r>
                </w:p>
              </w:tc>
              <w:tc>
                <w:tcPr>
                  <w:tcW w:w="754" w:type="pct"/>
                  <w:tcMar>
                    <w:top w:w="57" w:type="dxa"/>
                  </w:tcMar>
                  <w:vAlign w:val="center"/>
                </w:tcPr>
                <w:p>
                  <w:pPr>
                    <w:pStyle w:val="35"/>
                    <w:bidi w:val="0"/>
                    <w:rPr>
                      <w:rFonts w:hint="default" w:eastAsia="宋体"/>
                      <w:color w:val="auto"/>
                      <w:highlight w:val="none"/>
                      <w:lang w:val="en-US" w:eastAsia="zh-CN"/>
                    </w:rPr>
                  </w:pPr>
                  <w:r>
                    <w:rPr>
                      <w:rFonts w:hint="eastAsia"/>
                      <w:color w:val="auto"/>
                      <w:highlight w:val="none"/>
                      <w:lang w:val="en-US" w:eastAsia="zh-CN"/>
                    </w:rPr>
                    <w:t>244.5</w:t>
                  </w:r>
                </w:p>
              </w:tc>
              <w:tc>
                <w:tcPr>
                  <w:tcW w:w="861" w:type="pct"/>
                  <w:tcMar>
                    <w:top w:w="57" w:type="dxa"/>
                  </w:tcMar>
                  <w:vAlign w:val="center"/>
                </w:tcPr>
                <w:p>
                  <w:pPr>
                    <w:pStyle w:val="35"/>
                    <w:bidi w:val="0"/>
                    <w:rPr>
                      <w:rFonts w:hint="default"/>
                      <w:color w:val="auto"/>
                      <w:highlight w:val="none"/>
                      <w:lang w:val="en-US" w:eastAsia="zh-CN"/>
                    </w:rPr>
                  </w:pPr>
                  <w:r>
                    <w:rPr>
                      <w:rFonts w:hint="eastAsia"/>
                      <w:color w:val="auto"/>
                      <w:highlight w:val="none"/>
                      <w:lang w:val="en-US" w:eastAsia="zh-CN"/>
                    </w:rPr>
                    <w:t>3520</w:t>
                  </w:r>
                </w:p>
              </w:tc>
              <w:tc>
                <w:tcPr>
                  <w:tcW w:w="861" w:type="pct"/>
                  <w:tcMar>
                    <w:top w:w="57" w:type="dxa"/>
                  </w:tcMar>
                  <w:vAlign w:val="center"/>
                </w:tcPr>
                <w:p>
                  <w:pPr>
                    <w:pStyle w:val="35"/>
                    <w:bidi w:val="0"/>
                    <w:rPr>
                      <w:rFonts w:hint="default"/>
                      <w:color w:val="auto"/>
                      <w:highlight w:val="none"/>
                      <w:lang w:val="en-US" w:eastAsia="zh-CN"/>
                    </w:rPr>
                  </w:pPr>
                  <w:r>
                    <w:rPr>
                      <w:rFonts w:hint="eastAsia"/>
                      <w:color w:val="auto"/>
                      <w:highlight w:val="none"/>
                      <w:lang w:val="en-US" w:eastAsia="zh-CN"/>
                    </w:rPr>
                    <w:t>地面</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0" w:hRule="atLeast"/>
                <w:jc w:val="center"/>
              </w:trPr>
              <w:tc>
                <w:tcPr>
                  <w:tcW w:w="646" w:type="pct"/>
                  <w:vMerge w:val="continue"/>
                  <w:vAlign w:val="center"/>
                </w:tcPr>
                <w:p>
                  <w:pPr>
                    <w:pStyle w:val="35"/>
                    <w:bidi w:val="0"/>
                    <w:rPr>
                      <w:rFonts w:hint="default"/>
                      <w:color w:val="auto"/>
                      <w:highlight w:val="none"/>
                    </w:rPr>
                  </w:pPr>
                </w:p>
              </w:tc>
              <w:tc>
                <w:tcPr>
                  <w:tcW w:w="557" w:type="pct"/>
                  <w:tcMar>
                    <w:top w:w="57" w:type="dxa"/>
                  </w:tcMar>
                  <w:vAlign w:val="center"/>
                </w:tcPr>
                <w:p>
                  <w:pPr>
                    <w:pStyle w:val="35"/>
                    <w:bidi w:val="0"/>
                    <w:rPr>
                      <w:rFonts w:hint="eastAsia"/>
                      <w:color w:val="auto"/>
                      <w:highlight w:val="none"/>
                      <w:lang w:eastAsia="zh-CN"/>
                    </w:rPr>
                  </w:pPr>
                  <w:r>
                    <w:rPr>
                      <w:rFonts w:hint="eastAsia"/>
                      <w:color w:val="auto"/>
                      <w:highlight w:val="none"/>
                      <w:lang w:val="en-US" w:eastAsia="zh-CN"/>
                    </w:rPr>
                    <w:t>三</w:t>
                  </w:r>
                  <w:r>
                    <w:rPr>
                      <w:rFonts w:hint="eastAsia"/>
                      <w:color w:val="auto"/>
                      <w:highlight w:val="none"/>
                      <w:lang w:eastAsia="zh-CN"/>
                    </w:rPr>
                    <w:t>开</w:t>
                  </w:r>
                </w:p>
              </w:tc>
              <w:tc>
                <w:tcPr>
                  <w:tcW w:w="693" w:type="pct"/>
                  <w:tcMar>
                    <w:top w:w="57" w:type="dxa"/>
                  </w:tcMar>
                  <w:vAlign w:val="center"/>
                </w:tcPr>
                <w:p>
                  <w:pPr>
                    <w:pStyle w:val="35"/>
                    <w:bidi w:val="0"/>
                    <w:rPr>
                      <w:rFonts w:hint="default"/>
                      <w:color w:val="auto"/>
                      <w:highlight w:val="none"/>
                      <w:lang w:val="en-US" w:eastAsia="zh-CN"/>
                    </w:rPr>
                  </w:pPr>
                  <w:bookmarkStart w:id="43" w:name="OLE_LINK25"/>
                  <w:r>
                    <w:rPr>
                      <w:rFonts w:hint="default"/>
                      <w:color w:val="auto"/>
                      <w:highlight w:val="none"/>
                    </w:rPr>
                    <w:t>～</w:t>
                  </w:r>
                  <w:r>
                    <w:rPr>
                      <w:rFonts w:hint="eastAsia"/>
                      <w:color w:val="auto"/>
                      <w:highlight w:val="none"/>
                      <w:lang w:val="en-US" w:eastAsia="zh-CN"/>
                    </w:rPr>
                    <w:t>6089</w:t>
                  </w:r>
                  <w:bookmarkEnd w:id="43"/>
                </w:p>
              </w:tc>
              <w:tc>
                <w:tcPr>
                  <w:tcW w:w="625" w:type="pct"/>
                  <w:tcMar>
                    <w:top w:w="57" w:type="dxa"/>
                  </w:tcMar>
                  <w:vAlign w:val="center"/>
                </w:tcPr>
                <w:p>
                  <w:pPr>
                    <w:pStyle w:val="35"/>
                    <w:bidi w:val="0"/>
                    <w:rPr>
                      <w:rFonts w:hint="default"/>
                      <w:color w:val="auto"/>
                      <w:highlight w:val="none"/>
                      <w:lang w:val="en-US" w:eastAsia="zh-CN"/>
                    </w:rPr>
                  </w:pPr>
                  <w:r>
                    <w:rPr>
                      <w:rFonts w:hint="default"/>
                      <w:color w:val="auto"/>
                      <w:highlight w:val="none"/>
                      <w:lang w:val="en-US" w:eastAsia="zh-CN"/>
                    </w:rPr>
                    <w:t>215.9</w:t>
                  </w:r>
                </w:p>
              </w:tc>
              <w:tc>
                <w:tcPr>
                  <w:tcW w:w="754" w:type="pct"/>
                  <w:tcMar>
                    <w:top w:w="57" w:type="dxa"/>
                  </w:tcMar>
                  <w:vAlign w:val="center"/>
                </w:tcPr>
                <w:p>
                  <w:pPr>
                    <w:pStyle w:val="35"/>
                    <w:bidi w:val="0"/>
                    <w:rPr>
                      <w:rFonts w:hint="default"/>
                      <w:color w:val="auto"/>
                      <w:highlight w:val="none"/>
                      <w:lang w:val="en-US" w:eastAsia="zh-CN"/>
                    </w:rPr>
                  </w:pPr>
                  <w:r>
                    <w:rPr>
                      <w:rFonts w:hint="eastAsia"/>
                      <w:color w:val="auto"/>
                      <w:highlight w:val="none"/>
                      <w:lang w:val="en-US" w:eastAsia="zh-CN"/>
                    </w:rPr>
                    <w:t>139.7</w:t>
                  </w:r>
                </w:p>
              </w:tc>
              <w:tc>
                <w:tcPr>
                  <w:tcW w:w="861" w:type="pct"/>
                  <w:tcMar>
                    <w:top w:w="57" w:type="dxa"/>
                  </w:tcMar>
                  <w:vAlign w:val="center"/>
                </w:tcPr>
                <w:p>
                  <w:pPr>
                    <w:pStyle w:val="35"/>
                    <w:bidi w:val="0"/>
                    <w:rPr>
                      <w:rFonts w:hint="default"/>
                      <w:color w:val="auto"/>
                      <w:highlight w:val="none"/>
                      <w:lang w:val="en-US" w:eastAsia="zh-CN"/>
                    </w:rPr>
                  </w:pPr>
                  <w:r>
                    <w:rPr>
                      <w:rFonts w:hint="eastAsia"/>
                      <w:color w:val="auto"/>
                      <w:highlight w:val="none"/>
                      <w:lang w:val="en-US" w:eastAsia="zh-CN"/>
                    </w:rPr>
                    <w:t>6085</w:t>
                  </w:r>
                </w:p>
              </w:tc>
              <w:tc>
                <w:tcPr>
                  <w:tcW w:w="861" w:type="pct"/>
                  <w:tcMar>
                    <w:top w:w="57" w:type="dxa"/>
                  </w:tcMar>
                  <w:vAlign w:val="center"/>
                </w:tcPr>
                <w:p>
                  <w:pPr>
                    <w:pStyle w:val="35"/>
                    <w:bidi w:val="0"/>
                    <w:rPr>
                      <w:rFonts w:hint="default"/>
                      <w:color w:val="auto"/>
                      <w:highlight w:val="none"/>
                      <w:lang w:val="en-US" w:eastAsia="zh-CN"/>
                    </w:rPr>
                  </w:pPr>
                  <w:r>
                    <w:rPr>
                      <w:rFonts w:hint="eastAsia"/>
                      <w:color w:val="auto"/>
                      <w:highlight w:val="none"/>
                      <w:lang w:val="en-US" w:eastAsia="zh-CN"/>
                    </w:rPr>
                    <w:t>地面</w:t>
                  </w:r>
                </w:p>
              </w:tc>
            </w:tr>
            <w:bookmarkEnd w:id="42"/>
          </w:tbl>
          <w:p>
            <w:pPr>
              <w:snapToGrid w:val="0"/>
              <w:spacing w:line="500" w:lineRule="exact"/>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③钻井设备</w:t>
            </w:r>
          </w:p>
          <w:p>
            <w:pPr>
              <w:snapToGrid w:val="0"/>
              <w:spacing w:line="500" w:lineRule="exact"/>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钻井设备包括钻机、井架、钻井泵、柴油机、发电机等，主要钻井设备见表</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4。</w:t>
            </w:r>
          </w:p>
          <w:p>
            <w:pPr>
              <w:snapToGrid w:val="0"/>
              <w:spacing w:line="500" w:lineRule="exact"/>
              <w:jc w:val="center"/>
              <w:rPr>
                <w:rFonts w:hint="default" w:ascii="Times New Roman" w:hAnsi="Times New Roman" w:eastAsia="黑体" w:cs="Times New Roman"/>
                <w:color w:val="auto"/>
                <w:sz w:val="21"/>
                <w:szCs w:val="21"/>
                <w:highlight w:val="none"/>
              </w:rPr>
            </w:pPr>
            <w:bookmarkStart w:id="44" w:name="_Ref19636829"/>
            <w:r>
              <w:rPr>
                <w:rFonts w:hint="default" w:ascii="Times New Roman" w:hAnsi="Times New Roman" w:eastAsia="黑体" w:cs="Times New Roman"/>
                <w:color w:val="auto"/>
                <w:sz w:val="21"/>
                <w:szCs w:val="21"/>
                <w:highlight w:val="none"/>
              </w:rPr>
              <w:t>表</w:t>
            </w:r>
            <w:bookmarkEnd w:id="44"/>
            <w:r>
              <w:rPr>
                <w:rFonts w:hint="default" w:ascii="Times New Roman" w:hAnsi="Times New Roman" w:eastAsia="黑体" w:cs="Times New Roman"/>
                <w:color w:val="auto"/>
                <w:sz w:val="21"/>
                <w:szCs w:val="21"/>
                <w:highlight w:val="none"/>
                <w:lang w:val="en-US" w:eastAsia="zh-CN"/>
              </w:rPr>
              <w:t>2-</w:t>
            </w:r>
            <w:r>
              <w:rPr>
                <w:rFonts w:hint="default" w:ascii="Times New Roman" w:hAnsi="Times New Roman" w:eastAsia="黑体" w:cs="Times New Roman"/>
                <w:color w:val="auto"/>
                <w:sz w:val="21"/>
                <w:szCs w:val="21"/>
                <w:highlight w:val="none"/>
              </w:rPr>
              <w:t>4  主要钻井设备一览表</w:t>
            </w:r>
          </w:p>
          <w:tbl>
            <w:tblPr>
              <w:tblStyle w:val="27"/>
              <w:tblW w:w="7865"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444"/>
              <w:gridCol w:w="524"/>
              <w:gridCol w:w="1371"/>
              <w:gridCol w:w="1402"/>
              <w:gridCol w:w="1653"/>
              <w:gridCol w:w="444"/>
              <w:gridCol w:w="579"/>
              <w:gridCol w:w="1448"/>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15" w:type="pct"/>
                  <w:gridSpan w:val="2"/>
                  <w:tcBorders>
                    <w:top w:val="single" w:color="000000" w:sz="12" w:space="0"/>
                  </w:tcBorders>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序号</w:t>
                  </w:r>
                </w:p>
              </w:tc>
              <w:tc>
                <w:tcPr>
                  <w:tcW w:w="1762" w:type="pct"/>
                  <w:gridSpan w:val="2"/>
                  <w:tcBorders>
                    <w:top w:val="single" w:color="000000" w:sz="12" w:space="0"/>
                  </w:tcBorders>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名称</w:t>
                  </w:r>
                </w:p>
              </w:tc>
              <w:tc>
                <w:tcPr>
                  <w:tcW w:w="1050" w:type="pct"/>
                  <w:tcBorders>
                    <w:top w:val="single" w:color="000000" w:sz="12" w:space="0"/>
                  </w:tcBorders>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型号</w:t>
                  </w:r>
                </w:p>
              </w:tc>
              <w:tc>
                <w:tcPr>
                  <w:tcW w:w="282" w:type="pct"/>
                  <w:tcBorders>
                    <w:top w:val="single" w:color="000000" w:sz="12" w:space="0"/>
                  </w:tcBorders>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color w:val="auto"/>
                      <w:sz w:val="21"/>
                      <w:szCs w:val="21"/>
                      <w:highlight w:val="none"/>
                    </w:rPr>
                  </w:pPr>
                  <w:r>
                    <w:rPr>
                      <w:rFonts w:hint="default"/>
                      <w:color w:val="auto"/>
                      <w:sz w:val="21"/>
                      <w:szCs w:val="21"/>
                      <w:highlight w:val="none"/>
                    </w:rPr>
                    <w:t>载荷</w:t>
                  </w:r>
                </w:p>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(kN)</w:t>
                  </w:r>
                </w:p>
              </w:tc>
              <w:tc>
                <w:tcPr>
                  <w:tcW w:w="368" w:type="pct"/>
                  <w:tcBorders>
                    <w:top w:val="single" w:color="000000" w:sz="12" w:space="0"/>
                  </w:tcBorders>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color w:val="auto"/>
                      <w:sz w:val="21"/>
                      <w:szCs w:val="21"/>
                      <w:highlight w:val="none"/>
                    </w:rPr>
                  </w:pPr>
                  <w:r>
                    <w:rPr>
                      <w:rFonts w:hint="default"/>
                      <w:color w:val="auto"/>
                      <w:sz w:val="21"/>
                      <w:szCs w:val="21"/>
                      <w:highlight w:val="none"/>
                    </w:rPr>
                    <w:t>功率</w:t>
                  </w:r>
                </w:p>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(kW)</w:t>
                  </w:r>
                </w:p>
              </w:tc>
              <w:tc>
                <w:tcPr>
                  <w:tcW w:w="920" w:type="pct"/>
                  <w:tcBorders>
                    <w:top w:val="single" w:color="000000" w:sz="12" w:space="0"/>
                  </w:tcBorders>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备注</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15" w:type="pct"/>
                  <w:gridSpan w:val="2"/>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一</w:t>
                  </w:r>
                </w:p>
              </w:tc>
              <w:tc>
                <w:tcPr>
                  <w:tcW w:w="1762" w:type="pct"/>
                  <w:gridSpan w:val="2"/>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钻机</w:t>
                  </w:r>
                </w:p>
              </w:tc>
              <w:tc>
                <w:tcPr>
                  <w:tcW w:w="105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ZJ-70D</w:t>
                  </w:r>
                </w:p>
              </w:tc>
              <w:tc>
                <w:tcPr>
                  <w:tcW w:w="282"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4500</w:t>
                  </w:r>
                </w:p>
              </w:tc>
              <w:tc>
                <w:tcPr>
                  <w:tcW w:w="368"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92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净空高度≥7m</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15" w:type="pct"/>
                  <w:gridSpan w:val="2"/>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二</w:t>
                  </w:r>
                </w:p>
              </w:tc>
              <w:tc>
                <w:tcPr>
                  <w:tcW w:w="1762" w:type="pct"/>
                  <w:gridSpan w:val="2"/>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井架</w:t>
                  </w:r>
                </w:p>
              </w:tc>
              <w:tc>
                <w:tcPr>
                  <w:tcW w:w="105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JJ450/45-K8</w:t>
                  </w:r>
                </w:p>
              </w:tc>
              <w:tc>
                <w:tcPr>
                  <w:tcW w:w="282"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4500</w:t>
                  </w:r>
                </w:p>
              </w:tc>
              <w:tc>
                <w:tcPr>
                  <w:tcW w:w="368"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920"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15" w:type="pct"/>
                  <w:gridSpan w:val="2"/>
                  <w:vMerge w:val="restar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三</w:t>
                  </w:r>
                </w:p>
              </w:tc>
              <w:tc>
                <w:tcPr>
                  <w:tcW w:w="871" w:type="pct"/>
                  <w:vMerge w:val="restar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color w:val="auto"/>
                      <w:sz w:val="21"/>
                      <w:szCs w:val="21"/>
                      <w:highlight w:val="none"/>
                    </w:rPr>
                  </w:pPr>
                  <w:r>
                    <w:rPr>
                      <w:rFonts w:hint="default"/>
                      <w:color w:val="auto"/>
                      <w:sz w:val="21"/>
                      <w:szCs w:val="21"/>
                      <w:highlight w:val="none"/>
                    </w:rPr>
                    <w:t>提升</w:t>
                  </w:r>
                </w:p>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系统</w:t>
                  </w:r>
                </w:p>
              </w:tc>
              <w:tc>
                <w:tcPr>
                  <w:tcW w:w="89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绞车</w:t>
                  </w:r>
                </w:p>
              </w:tc>
              <w:tc>
                <w:tcPr>
                  <w:tcW w:w="105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JC-70-09</w:t>
                  </w:r>
                </w:p>
              </w:tc>
              <w:tc>
                <w:tcPr>
                  <w:tcW w:w="282"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68"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920"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15" w:type="pct"/>
                  <w:gridSpan w:val="2"/>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71"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9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天车</w:t>
                  </w:r>
                </w:p>
              </w:tc>
              <w:tc>
                <w:tcPr>
                  <w:tcW w:w="105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TC450-1</w:t>
                  </w:r>
                </w:p>
              </w:tc>
              <w:tc>
                <w:tcPr>
                  <w:tcW w:w="282"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4500</w:t>
                  </w:r>
                </w:p>
              </w:tc>
              <w:tc>
                <w:tcPr>
                  <w:tcW w:w="368"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920"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15" w:type="pct"/>
                  <w:gridSpan w:val="2"/>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71"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9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游车</w:t>
                  </w:r>
                </w:p>
              </w:tc>
              <w:tc>
                <w:tcPr>
                  <w:tcW w:w="105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YC450</w:t>
                  </w:r>
                </w:p>
              </w:tc>
              <w:tc>
                <w:tcPr>
                  <w:tcW w:w="282"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4500</w:t>
                  </w:r>
                </w:p>
              </w:tc>
              <w:tc>
                <w:tcPr>
                  <w:tcW w:w="368"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920"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15" w:type="pct"/>
                  <w:gridSpan w:val="2"/>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71"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9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大钩</w:t>
                  </w:r>
                </w:p>
              </w:tc>
              <w:tc>
                <w:tcPr>
                  <w:tcW w:w="105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DG450</w:t>
                  </w:r>
                </w:p>
              </w:tc>
              <w:tc>
                <w:tcPr>
                  <w:tcW w:w="282"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4500</w:t>
                  </w:r>
                </w:p>
              </w:tc>
              <w:tc>
                <w:tcPr>
                  <w:tcW w:w="368"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92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1套</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15" w:type="pct"/>
                  <w:gridSpan w:val="2"/>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71"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9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水龙头</w:t>
                  </w:r>
                </w:p>
              </w:tc>
              <w:tc>
                <w:tcPr>
                  <w:tcW w:w="105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SL-450-H</w:t>
                  </w:r>
                </w:p>
              </w:tc>
              <w:tc>
                <w:tcPr>
                  <w:tcW w:w="282"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4500</w:t>
                  </w:r>
                </w:p>
              </w:tc>
              <w:tc>
                <w:tcPr>
                  <w:tcW w:w="368"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92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1套</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15" w:type="pct"/>
                  <w:gridSpan w:val="2"/>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eastAsia="宋体" w:cs="Times New Roman"/>
                      <w:color w:val="auto"/>
                      <w:sz w:val="21"/>
                      <w:szCs w:val="21"/>
                      <w:highlight w:val="none"/>
                      <w:lang w:val="en-US" w:eastAsia="zh-CN"/>
                    </w:rPr>
                  </w:pPr>
                  <w:r>
                    <w:rPr>
                      <w:rFonts w:hint="default"/>
                      <w:color w:val="auto"/>
                      <w:sz w:val="21"/>
                      <w:szCs w:val="21"/>
                      <w:highlight w:val="none"/>
                      <w:lang w:val="en-US" w:eastAsia="zh-CN"/>
                    </w:rPr>
                    <w:t>四</w:t>
                  </w:r>
                </w:p>
              </w:tc>
              <w:tc>
                <w:tcPr>
                  <w:tcW w:w="1762" w:type="pct"/>
                  <w:gridSpan w:val="2"/>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转盘</w:t>
                  </w:r>
                </w:p>
              </w:tc>
              <w:tc>
                <w:tcPr>
                  <w:tcW w:w="105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ZP375</w:t>
                  </w:r>
                </w:p>
              </w:tc>
              <w:tc>
                <w:tcPr>
                  <w:tcW w:w="282"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68"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92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1套</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15" w:type="pct"/>
                  <w:gridSpan w:val="2"/>
                  <w:vMerge w:val="restar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eastAsia="宋体" w:cs="Times New Roman"/>
                      <w:color w:val="auto"/>
                      <w:sz w:val="21"/>
                      <w:szCs w:val="21"/>
                      <w:highlight w:val="none"/>
                      <w:lang w:val="en-US" w:eastAsia="zh-CN"/>
                    </w:rPr>
                  </w:pPr>
                  <w:r>
                    <w:rPr>
                      <w:rFonts w:hint="default"/>
                      <w:color w:val="auto"/>
                      <w:sz w:val="21"/>
                      <w:szCs w:val="21"/>
                      <w:highlight w:val="none"/>
                      <w:lang w:val="en-US" w:eastAsia="zh-CN"/>
                    </w:rPr>
                    <w:t>五</w:t>
                  </w:r>
                </w:p>
              </w:tc>
              <w:tc>
                <w:tcPr>
                  <w:tcW w:w="871" w:type="pct"/>
                  <w:vMerge w:val="restar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循环系统配置</w:t>
                  </w:r>
                </w:p>
              </w:tc>
              <w:tc>
                <w:tcPr>
                  <w:tcW w:w="89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钻井泵</w:t>
                  </w:r>
                </w:p>
              </w:tc>
              <w:tc>
                <w:tcPr>
                  <w:tcW w:w="105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F1600</w:t>
                  </w:r>
                </w:p>
              </w:tc>
              <w:tc>
                <w:tcPr>
                  <w:tcW w:w="282"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68"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1180</w:t>
                  </w:r>
                </w:p>
              </w:tc>
              <w:tc>
                <w:tcPr>
                  <w:tcW w:w="92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2台</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15" w:type="pct"/>
                  <w:gridSpan w:val="2"/>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71"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9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钻井液罐</w:t>
                  </w:r>
                </w:p>
              </w:tc>
              <w:tc>
                <w:tcPr>
                  <w:tcW w:w="1050"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282"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68"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92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eastAsia="宋体" w:cs="Times New Roman"/>
                      <w:color w:val="auto"/>
                      <w:sz w:val="21"/>
                      <w:szCs w:val="21"/>
                      <w:highlight w:val="none"/>
                      <w:lang w:eastAsia="zh-CN"/>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15" w:type="pct"/>
                  <w:gridSpan w:val="2"/>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71"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9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搅拌器</w:t>
                  </w:r>
                </w:p>
              </w:tc>
              <w:tc>
                <w:tcPr>
                  <w:tcW w:w="105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NJ-15</w:t>
                  </w:r>
                </w:p>
              </w:tc>
              <w:tc>
                <w:tcPr>
                  <w:tcW w:w="282"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68"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15</w:t>
                  </w:r>
                </w:p>
              </w:tc>
              <w:tc>
                <w:tcPr>
                  <w:tcW w:w="92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12个</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15" w:type="pct"/>
                  <w:gridSpan w:val="2"/>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eastAsia="宋体" w:cs="Times New Roman"/>
                      <w:color w:val="auto"/>
                      <w:sz w:val="21"/>
                      <w:szCs w:val="21"/>
                      <w:highlight w:val="none"/>
                      <w:lang w:val="en-US" w:eastAsia="zh-CN"/>
                    </w:rPr>
                  </w:pPr>
                  <w:r>
                    <w:rPr>
                      <w:rFonts w:hint="default"/>
                      <w:color w:val="auto"/>
                      <w:sz w:val="21"/>
                      <w:szCs w:val="21"/>
                      <w:highlight w:val="none"/>
                      <w:lang w:val="en-US" w:eastAsia="zh-CN"/>
                    </w:rPr>
                    <w:t>六</w:t>
                  </w:r>
                </w:p>
              </w:tc>
              <w:tc>
                <w:tcPr>
                  <w:tcW w:w="871"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钻机动力系统</w:t>
                  </w:r>
                </w:p>
              </w:tc>
              <w:tc>
                <w:tcPr>
                  <w:tcW w:w="89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柴油机</w:t>
                  </w:r>
                </w:p>
              </w:tc>
              <w:tc>
                <w:tcPr>
                  <w:tcW w:w="105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G12V190PILG-3</w:t>
                  </w:r>
                </w:p>
              </w:tc>
              <w:tc>
                <w:tcPr>
                  <w:tcW w:w="282"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68"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810</w:t>
                  </w:r>
                </w:p>
              </w:tc>
              <w:tc>
                <w:tcPr>
                  <w:tcW w:w="92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3台</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15" w:type="pct"/>
                  <w:gridSpan w:val="2"/>
                  <w:vMerge w:val="restar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eastAsia="宋体" w:cs="Times New Roman"/>
                      <w:color w:val="auto"/>
                      <w:sz w:val="21"/>
                      <w:szCs w:val="21"/>
                      <w:highlight w:val="none"/>
                      <w:lang w:val="en-US" w:eastAsia="zh-CN"/>
                    </w:rPr>
                  </w:pPr>
                  <w:r>
                    <w:rPr>
                      <w:rFonts w:hint="default"/>
                      <w:color w:val="auto"/>
                      <w:sz w:val="21"/>
                      <w:szCs w:val="21"/>
                      <w:highlight w:val="none"/>
                      <w:lang w:val="en-US" w:eastAsia="zh-CN"/>
                    </w:rPr>
                    <w:t>七</w:t>
                  </w:r>
                </w:p>
              </w:tc>
              <w:tc>
                <w:tcPr>
                  <w:tcW w:w="871" w:type="pct"/>
                  <w:vMerge w:val="restar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color w:val="auto"/>
                      <w:sz w:val="21"/>
                      <w:szCs w:val="21"/>
                      <w:highlight w:val="none"/>
                    </w:rPr>
                  </w:pPr>
                  <w:r>
                    <w:rPr>
                      <w:rFonts w:hint="default"/>
                      <w:color w:val="auto"/>
                      <w:sz w:val="21"/>
                      <w:szCs w:val="21"/>
                      <w:highlight w:val="none"/>
                    </w:rPr>
                    <w:t>发电</w:t>
                  </w:r>
                </w:p>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机组</w:t>
                  </w:r>
                </w:p>
              </w:tc>
              <w:tc>
                <w:tcPr>
                  <w:tcW w:w="89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发电机</w:t>
                  </w:r>
                </w:p>
              </w:tc>
              <w:tc>
                <w:tcPr>
                  <w:tcW w:w="1050"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282"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68"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92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3台</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15" w:type="pct"/>
                  <w:gridSpan w:val="2"/>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71"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9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MCC房</w:t>
                  </w:r>
                </w:p>
              </w:tc>
              <w:tc>
                <w:tcPr>
                  <w:tcW w:w="105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HH70LDB</w:t>
                  </w:r>
                </w:p>
              </w:tc>
              <w:tc>
                <w:tcPr>
                  <w:tcW w:w="282"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68"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92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1栋</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15" w:type="pct"/>
                  <w:gridSpan w:val="2"/>
                  <w:vMerge w:val="restar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eastAsia="宋体" w:cs="Times New Roman"/>
                      <w:color w:val="auto"/>
                      <w:sz w:val="21"/>
                      <w:szCs w:val="21"/>
                      <w:highlight w:val="none"/>
                      <w:lang w:val="en-US" w:eastAsia="zh-CN"/>
                    </w:rPr>
                  </w:pPr>
                  <w:r>
                    <w:rPr>
                      <w:rFonts w:hint="default"/>
                      <w:color w:val="auto"/>
                      <w:sz w:val="21"/>
                      <w:szCs w:val="21"/>
                      <w:highlight w:val="none"/>
                      <w:lang w:val="en-US" w:eastAsia="zh-CN"/>
                    </w:rPr>
                    <w:t>八</w:t>
                  </w:r>
                </w:p>
              </w:tc>
              <w:tc>
                <w:tcPr>
                  <w:tcW w:w="871" w:type="pct"/>
                  <w:vMerge w:val="restar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钻机控制系统</w:t>
                  </w:r>
                </w:p>
              </w:tc>
              <w:tc>
                <w:tcPr>
                  <w:tcW w:w="89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自动压风机</w:t>
                  </w:r>
                </w:p>
              </w:tc>
              <w:tc>
                <w:tcPr>
                  <w:tcW w:w="105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SPE306X</w:t>
                  </w:r>
                </w:p>
              </w:tc>
              <w:tc>
                <w:tcPr>
                  <w:tcW w:w="282"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68"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92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6.5</w:t>
                  </w:r>
                  <w:r>
                    <w:rPr>
                      <w:rFonts w:hint="default"/>
                      <w:color w:val="auto"/>
                      <w:sz w:val="21"/>
                      <w:szCs w:val="21"/>
                      <w:highlight w:val="none"/>
                      <w:lang w:eastAsia="zh-CN"/>
                    </w:rPr>
                    <w:t>m</w:t>
                  </w:r>
                  <w:r>
                    <w:rPr>
                      <w:rFonts w:hint="default"/>
                      <w:color w:val="auto"/>
                      <w:sz w:val="21"/>
                      <w:szCs w:val="21"/>
                      <w:highlight w:val="none"/>
                      <w:vertAlign w:val="superscript"/>
                      <w:lang w:eastAsia="zh-CN"/>
                    </w:rPr>
                    <w:t>3</w:t>
                  </w:r>
                  <w:r>
                    <w:rPr>
                      <w:rFonts w:hint="default"/>
                      <w:color w:val="auto"/>
                      <w:sz w:val="21"/>
                      <w:szCs w:val="21"/>
                      <w:highlight w:val="none"/>
                    </w:rPr>
                    <w:t>/min</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15" w:type="pct"/>
                  <w:gridSpan w:val="2"/>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71"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9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电动压风机</w:t>
                  </w:r>
                </w:p>
              </w:tc>
              <w:tc>
                <w:tcPr>
                  <w:tcW w:w="105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SPE306X</w:t>
                  </w:r>
                </w:p>
              </w:tc>
              <w:tc>
                <w:tcPr>
                  <w:tcW w:w="282"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68"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92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6.5</w:t>
                  </w:r>
                  <w:r>
                    <w:rPr>
                      <w:rFonts w:hint="default"/>
                      <w:color w:val="auto"/>
                      <w:sz w:val="21"/>
                      <w:szCs w:val="21"/>
                      <w:highlight w:val="none"/>
                      <w:lang w:eastAsia="zh-CN"/>
                    </w:rPr>
                    <w:t>m</w:t>
                  </w:r>
                  <w:r>
                    <w:rPr>
                      <w:rFonts w:hint="default"/>
                      <w:color w:val="auto"/>
                      <w:sz w:val="21"/>
                      <w:szCs w:val="21"/>
                      <w:highlight w:val="none"/>
                      <w:vertAlign w:val="superscript"/>
                      <w:lang w:eastAsia="zh-CN"/>
                    </w:rPr>
                    <w:t>3</w:t>
                  </w:r>
                  <w:r>
                    <w:rPr>
                      <w:rFonts w:hint="default"/>
                      <w:color w:val="auto"/>
                      <w:sz w:val="21"/>
                      <w:szCs w:val="21"/>
                      <w:highlight w:val="none"/>
                    </w:rPr>
                    <w:t>/min</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15" w:type="pct"/>
                  <w:gridSpan w:val="2"/>
                  <w:vMerge w:val="restar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eastAsia="宋体" w:cs="Times New Roman"/>
                      <w:color w:val="auto"/>
                      <w:sz w:val="21"/>
                      <w:szCs w:val="21"/>
                      <w:highlight w:val="none"/>
                      <w:lang w:val="en-US" w:eastAsia="zh-CN"/>
                    </w:rPr>
                  </w:pPr>
                  <w:r>
                    <w:rPr>
                      <w:rFonts w:hint="default"/>
                      <w:color w:val="auto"/>
                      <w:sz w:val="21"/>
                      <w:szCs w:val="21"/>
                      <w:highlight w:val="none"/>
                      <w:lang w:val="en-US" w:eastAsia="zh-CN"/>
                    </w:rPr>
                    <w:t>九</w:t>
                  </w:r>
                </w:p>
              </w:tc>
              <w:tc>
                <w:tcPr>
                  <w:tcW w:w="871" w:type="pct"/>
                  <w:vMerge w:val="restar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color w:val="auto"/>
                      <w:sz w:val="21"/>
                      <w:szCs w:val="21"/>
                      <w:highlight w:val="none"/>
                    </w:rPr>
                  </w:pPr>
                  <w:r>
                    <w:rPr>
                      <w:rFonts w:hint="default"/>
                      <w:color w:val="auto"/>
                      <w:sz w:val="21"/>
                      <w:szCs w:val="21"/>
                      <w:highlight w:val="none"/>
                    </w:rPr>
                    <w:t>固控</w:t>
                  </w:r>
                </w:p>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系统</w:t>
                  </w:r>
                </w:p>
              </w:tc>
              <w:tc>
                <w:tcPr>
                  <w:tcW w:w="89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振动筛</w:t>
                  </w:r>
                </w:p>
              </w:tc>
              <w:tc>
                <w:tcPr>
                  <w:tcW w:w="105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HS270-4P-PTS</w:t>
                  </w:r>
                </w:p>
              </w:tc>
              <w:tc>
                <w:tcPr>
                  <w:tcW w:w="282"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68"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92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3台</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15" w:type="pct"/>
                  <w:gridSpan w:val="2"/>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71"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9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除砂除泥一体机</w:t>
                  </w:r>
                </w:p>
              </w:tc>
              <w:tc>
                <w:tcPr>
                  <w:tcW w:w="105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color w:val="auto"/>
                      <w:sz w:val="21"/>
                      <w:szCs w:val="21"/>
                      <w:highlight w:val="none"/>
                    </w:rPr>
                  </w:pPr>
                  <w:r>
                    <w:rPr>
                      <w:rFonts w:hint="default"/>
                      <w:color w:val="auto"/>
                      <w:sz w:val="21"/>
                      <w:szCs w:val="21"/>
                      <w:highlight w:val="none"/>
                    </w:rPr>
                    <w:t>ZQJ-l/250X2</w:t>
                  </w:r>
                </w:p>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-100X14-2</w:t>
                  </w:r>
                </w:p>
              </w:tc>
              <w:tc>
                <w:tcPr>
                  <w:tcW w:w="282"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68"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92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1套</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15" w:type="pct"/>
                  <w:gridSpan w:val="2"/>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71"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9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离心机</w:t>
                  </w:r>
                </w:p>
              </w:tc>
              <w:tc>
                <w:tcPr>
                  <w:tcW w:w="105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LW600×1000-N</w:t>
                  </w:r>
                </w:p>
              </w:tc>
              <w:tc>
                <w:tcPr>
                  <w:tcW w:w="282"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68"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92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2台</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15" w:type="pct"/>
                  <w:gridSpan w:val="2"/>
                  <w:vMerge w:val="restar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十</w:t>
                  </w:r>
                </w:p>
              </w:tc>
              <w:tc>
                <w:tcPr>
                  <w:tcW w:w="871" w:type="pct"/>
                  <w:vMerge w:val="restar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加重装置</w:t>
                  </w:r>
                </w:p>
              </w:tc>
              <w:tc>
                <w:tcPr>
                  <w:tcW w:w="89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加重漏斗</w:t>
                  </w:r>
                </w:p>
              </w:tc>
              <w:tc>
                <w:tcPr>
                  <w:tcW w:w="1050"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282"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68"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92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1套</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15" w:type="pct"/>
                  <w:gridSpan w:val="2"/>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71"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9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电动加重泵</w:t>
                  </w:r>
                </w:p>
              </w:tc>
              <w:tc>
                <w:tcPr>
                  <w:tcW w:w="1050"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282"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68"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92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1套</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15" w:type="pct"/>
                  <w:gridSpan w:val="2"/>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71"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9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气动下灰装置</w:t>
                  </w:r>
                </w:p>
              </w:tc>
              <w:tc>
                <w:tcPr>
                  <w:tcW w:w="1050"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282"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68"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92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1套</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282" w:type="pct"/>
                  <w:vMerge w:val="restar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eastAsia="宋体" w:cs="Times New Roman"/>
                      <w:color w:val="auto"/>
                      <w:sz w:val="21"/>
                      <w:szCs w:val="21"/>
                      <w:highlight w:val="none"/>
                      <w:lang w:val="en-US" w:eastAsia="zh-CN"/>
                    </w:rPr>
                  </w:pPr>
                  <w:r>
                    <w:rPr>
                      <w:rFonts w:hint="default"/>
                      <w:color w:val="auto"/>
                      <w:sz w:val="21"/>
                      <w:szCs w:val="21"/>
                      <w:highlight w:val="none"/>
                    </w:rPr>
                    <w:t>十</w:t>
                  </w:r>
                  <w:r>
                    <w:rPr>
                      <w:rFonts w:hint="default"/>
                      <w:color w:val="auto"/>
                      <w:sz w:val="21"/>
                      <w:szCs w:val="21"/>
                      <w:highlight w:val="none"/>
                      <w:lang w:val="en-US" w:eastAsia="zh-CN"/>
                    </w:rPr>
                    <w:t>一</w:t>
                  </w:r>
                </w:p>
              </w:tc>
              <w:tc>
                <w:tcPr>
                  <w:tcW w:w="332" w:type="pct"/>
                  <w:vMerge w:val="restar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color w:val="auto"/>
                      <w:sz w:val="21"/>
                      <w:szCs w:val="21"/>
                      <w:highlight w:val="none"/>
                    </w:rPr>
                  </w:pPr>
                  <w:r>
                    <w:rPr>
                      <w:rFonts w:hint="default"/>
                      <w:color w:val="auto"/>
                      <w:sz w:val="21"/>
                      <w:szCs w:val="21"/>
                      <w:highlight w:val="none"/>
                    </w:rPr>
                    <w:t>井</w:t>
                  </w:r>
                </w:p>
                <w:p>
                  <w:pPr>
                    <w:pStyle w:val="35"/>
                    <w:keepNext w:val="0"/>
                    <w:keepLines w:val="0"/>
                    <w:pageBreakBefore w:val="0"/>
                    <w:kinsoku/>
                    <w:wordWrap/>
                    <w:overflowPunct/>
                    <w:topLinePunct w:val="0"/>
                    <w:autoSpaceDE/>
                    <w:autoSpaceDN/>
                    <w:bidi w:val="0"/>
                    <w:snapToGrid w:val="0"/>
                    <w:spacing w:line="240" w:lineRule="atLeast"/>
                    <w:textAlignment w:val="auto"/>
                    <w:rPr>
                      <w:rFonts w:hint="default"/>
                      <w:color w:val="auto"/>
                      <w:sz w:val="21"/>
                      <w:szCs w:val="21"/>
                      <w:highlight w:val="none"/>
                    </w:rPr>
                  </w:pPr>
                  <w:r>
                    <w:rPr>
                      <w:rFonts w:hint="default"/>
                      <w:color w:val="auto"/>
                      <w:sz w:val="21"/>
                      <w:szCs w:val="21"/>
                      <w:highlight w:val="none"/>
                    </w:rPr>
                    <w:t>控</w:t>
                  </w:r>
                </w:p>
                <w:p>
                  <w:pPr>
                    <w:pStyle w:val="35"/>
                    <w:keepNext w:val="0"/>
                    <w:keepLines w:val="0"/>
                    <w:pageBreakBefore w:val="0"/>
                    <w:kinsoku/>
                    <w:wordWrap/>
                    <w:overflowPunct/>
                    <w:topLinePunct w:val="0"/>
                    <w:autoSpaceDE/>
                    <w:autoSpaceDN/>
                    <w:bidi w:val="0"/>
                    <w:snapToGrid w:val="0"/>
                    <w:spacing w:line="240" w:lineRule="atLeast"/>
                    <w:textAlignment w:val="auto"/>
                    <w:rPr>
                      <w:rFonts w:hint="default"/>
                      <w:color w:val="auto"/>
                      <w:sz w:val="21"/>
                      <w:szCs w:val="21"/>
                      <w:highlight w:val="none"/>
                    </w:rPr>
                  </w:pPr>
                  <w:r>
                    <w:rPr>
                      <w:rFonts w:hint="default"/>
                      <w:color w:val="auto"/>
                      <w:sz w:val="21"/>
                      <w:szCs w:val="21"/>
                      <w:highlight w:val="none"/>
                    </w:rPr>
                    <w:t>系</w:t>
                  </w:r>
                </w:p>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统</w:t>
                  </w:r>
                </w:p>
              </w:tc>
              <w:tc>
                <w:tcPr>
                  <w:tcW w:w="871" w:type="pct"/>
                  <w:vMerge w:val="restar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二开</w:t>
                  </w:r>
                </w:p>
              </w:tc>
              <w:tc>
                <w:tcPr>
                  <w:tcW w:w="89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环形防喷器</w:t>
                  </w:r>
                </w:p>
              </w:tc>
              <w:tc>
                <w:tcPr>
                  <w:tcW w:w="105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FH35-35</w:t>
                  </w:r>
                </w:p>
              </w:tc>
              <w:tc>
                <w:tcPr>
                  <w:tcW w:w="282"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68"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92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1套</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282"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32"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71"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9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双闸板防喷器</w:t>
                  </w:r>
                </w:p>
              </w:tc>
              <w:tc>
                <w:tcPr>
                  <w:tcW w:w="105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2FZ35-35</w:t>
                  </w:r>
                </w:p>
              </w:tc>
              <w:tc>
                <w:tcPr>
                  <w:tcW w:w="282"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68"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92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1套</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282"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32"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71"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9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节流管汇</w:t>
                  </w:r>
                </w:p>
              </w:tc>
              <w:tc>
                <w:tcPr>
                  <w:tcW w:w="105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JG-35</w:t>
                  </w:r>
                </w:p>
              </w:tc>
              <w:tc>
                <w:tcPr>
                  <w:tcW w:w="282"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68"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92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1套</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282"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32"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71"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9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压井管汇</w:t>
                  </w:r>
                </w:p>
              </w:tc>
              <w:tc>
                <w:tcPr>
                  <w:tcW w:w="105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YG-35</w:t>
                  </w:r>
                </w:p>
              </w:tc>
              <w:tc>
                <w:tcPr>
                  <w:tcW w:w="282"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68"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92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1套</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282"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32"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71" w:type="pct"/>
                  <w:vMerge w:val="restar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eastAsia="宋体" w:cs="Times New Roman"/>
                      <w:color w:val="auto"/>
                      <w:sz w:val="21"/>
                      <w:szCs w:val="21"/>
                      <w:highlight w:val="none"/>
                      <w:lang w:val="en-US" w:eastAsia="zh-CN"/>
                    </w:rPr>
                  </w:pPr>
                  <w:r>
                    <w:rPr>
                      <w:rFonts w:hint="eastAsia"/>
                      <w:color w:val="auto"/>
                      <w:sz w:val="21"/>
                      <w:szCs w:val="21"/>
                      <w:highlight w:val="none"/>
                      <w:lang w:val="en-US" w:eastAsia="zh-CN"/>
                    </w:rPr>
                    <w:t>三开</w:t>
                  </w:r>
                </w:p>
              </w:tc>
              <w:tc>
                <w:tcPr>
                  <w:tcW w:w="890" w:type="pct"/>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环形防喷器</w:t>
                  </w:r>
                </w:p>
              </w:tc>
              <w:tc>
                <w:tcPr>
                  <w:tcW w:w="1050" w:type="pct"/>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FH35-</w:t>
                  </w:r>
                  <w:r>
                    <w:rPr>
                      <w:rFonts w:hint="default" w:ascii="Times New Roman" w:hAnsi="Times New Roman" w:cs="Times New Roman"/>
                      <w:color w:val="auto"/>
                      <w:sz w:val="21"/>
                      <w:szCs w:val="21"/>
                      <w:highlight w:val="none"/>
                      <w:lang w:val="en-US" w:eastAsia="zh-CN"/>
                    </w:rPr>
                    <w:t>70</w:t>
                  </w:r>
                </w:p>
              </w:tc>
              <w:tc>
                <w:tcPr>
                  <w:tcW w:w="282" w:type="pct"/>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368" w:type="pct"/>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920" w:type="pct"/>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1套</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282"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32"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71"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90" w:type="pct"/>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单</w:t>
                  </w:r>
                  <w:r>
                    <w:rPr>
                      <w:rFonts w:hint="default" w:ascii="Times New Roman" w:hAnsi="Times New Roman" w:cs="Times New Roman"/>
                      <w:color w:val="auto"/>
                      <w:sz w:val="21"/>
                      <w:szCs w:val="21"/>
                      <w:highlight w:val="none"/>
                    </w:rPr>
                    <w:t>闸板防喷器</w:t>
                  </w:r>
                </w:p>
              </w:tc>
              <w:tc>
                <w:tcPr>
                  <w:tcW w:w="1050" w:type="pct"/>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FZ35-</w:t>
                  </w:r>
                  <w:r>
                    <w:rPr>
                      <w:rFonts w:hint="default" w:ascii="Times New Roman" w:hAnsi="Times New Roman" w:cs="Times New Roman"/>
                      <w:color w:val="auto"/>
                      <w:sz w:val="21"/>
                      <w:szCs w:val="21"/>
                      <w:highlight w:val="none"/>
                      <w:lang w:val="en-US" w:eastAsia="zh-CN"/>
                    </w:rPr>
                    <w:t>105</w:t>
                  </w:r>
                </w:p>
              </w:tc>
              <w:tc>
                <w:tcPr>
                  <w:tcW w:w="282" w:type="pct"/>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368" w:type="pct"/>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920" w:type="pct"/>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1套</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282"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32"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71"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90" w:type="pct"/>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双闸板防喷器</w:t>
                  </w:r>
                </w:p>
              </w:tc>
              <w:tc>
                <w:tcPr>
                  <w:tcW w:w="1050" w:type="pct"/>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2</w:t>
                  </w:r>
                  <w:r>
                    <w:rPr>
                      <w:rFonts w:hint="default" w:ascii="Times New Roman" w:hAnsi="Times New Roman" w:cs="Times New Roman"/>
                      <w:color w:val="auto"/>
                      <w:sz w:val="21"/>
                      <w:szCs w:val="21"/>
                      <w:highlight w:val="none"/>
                    </w:rPr>
                    <w:t>FZ35-</w:t>
                  </w:r>
                  <w:r>
                    <w:rPr>
                      <w:rFonts w:hint="default" w:ascii="Times New Roman" w:hAnsi="Times New Roman" w:cs="Times New Roman"/>
                      <w:color w:val="auto"/>
                      <w:sz w:val="21"/>
                      <w:szCs w:val="21"/>
                      <w:highlight w:val="none"/>
                      <w:lang w:val="en-US" w:eastAsia="zh-CN"/>
                    </w:rPr>
                    <w:t>105</w:t>
                  </w:r>
                </w:p>
              </w:tc>
              <w:tc>
                <w:tcPr>
                  <w:tcW w:w="282" w:type="pct"/>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368" w:type="pct"/>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920" w:type="pct"/>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1套</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282"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32"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71"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90" w:type="pct"/>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节流管汇</w:t>
                  </w:r>
                </w:p>
              </w:tc>
              <w:tc>
                <w:tcPr>
                  <w:tcW w:w="1050" w:type="pct"/>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jc w:val="center"/>
                    <w:textAlignment w:val="auto"/>
                    <w:rPr>
                      <w:rFonts w:hint="default" w:ascii="Times New Roman" w:hAnsi="Times New Roman" w:eastAsia="宋体" w:cs="Times New Roman"/>
                      <w:color w:val="auto"/>
                      <w:spacing w:val="4"/>
                      <w:kern w:val="2"/>
                      <w:sz w:val="21"/>
                      <w:szCs w:val="21"/>
                      <w:highlight w:val="none"/>
                      <w:lang w:val="en-US" w:eastAsia="zh-CN" w:bidi="ar-SA"/>
                    </w:rPr>
                  </w:pPr>
                  <w:r>
                    <w:rPr>
                      <w:rFonts w:hint="default" w:ascii="Times New Roman" w:hAnsi="Times New Roman" w:cs="Times New Roman"/>
                      <w:color w:val="auto"/>
                      <w:sz w:val="21"/>
                      <w:szCs w:val="21"/>
                      <w:highlight w:val="none"/>
                    </w:rPr>
                    <w:t>JG-</w:t>
                  </w:r>
                  <w:r>
                    <w:rPr>
                      <w:rFonts w:hint="default" w:ascii="Times New Roman" w:hAnsi="Times New Roman" w:cs="Times New Roman"/>
                      <w:color w:val="auto"/>
                      <w:sz w:val="21"/>
                      <w:szCs w:val="21"/>
                      <w:highlight w:val="none"/>
                      <w:lang w:val="en-US" w:eastAsia="zh-CN"/>
                    </w:rPr>
                    <w:t>105</w:t>
                  </w:r>
                </w:p>
              </w:tc>
              <w:tc>
                <w:tcPr>
                  <w:tcW w:w="282" w:type="pct"/>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368" w:type="pct"/>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920" w:type="pct"/>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1套</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282"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32"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71"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890" w:type="pct"/>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压井管汇</w:t>
                  </w:r>
                </w:p>
              </w:tc>
              <w:tc>
                <w:tcPr>
                  <w:tcW w:w="1050" w:type="pct"/>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jc w:val="center"/>
                    <w:textAlignment w:val="auto"/>
                    <w:rPr>
                      <w:rFonts w:hint="default" w:ascii="Times New Roman" w:hAnsi="Times New Roman" w:eastAsia="宋体" w:cs="Times New Roman"/>
                      <w:color w:val="auto"/>
                      <w:spacing w:val="4"/>
                      <w:kern w:val="2"/>
                      <w:sz w:val="21"/>
                      <w:szCs w:val="21"/>
                      <w:highlight w:val="none"/>
                      <w:lang w:val="en-US" w:eastAsia="zh-CN" w:bidi="ar-SA"/>
                    </w:rPr>
                  </w:pPr>
                  <w:r>
                    <w:rPr>
                      <w:rFonts w:hint="default" w:ascii="Times New Roman" w:hAnsi="Times New Roman" w:cs="Times New Roman"/>
                      <w:color w:val="auto"/>
                      <w:sz w:val="21"/>
                      <w:szCs w:val="21"/>
                      <w:highlight w:val="none"/>
                    </w:rPr>
                    <w:t>YG-</w:t>
                  </w:r>
                  <w:r>
                    <w:rPr>
                      <w:rFonts w:hint="default" w:ascii="Times New Roman" w:hAnsi="Times New Roman" w:cs="Times New Roman"/>
                      <w:color w:val="auto"/>
                      <w:sz w:val="21"/>
                      <w:szCs w:val="21"/>
                      <w:highlight w:val="none"/>
                      <w:lang w:val="en-US" w:eastAsia="zh-CN"/>
                    </w:rPr>
                    <w:t>105</w:t>
                  </w:r>
                </w:p>
              </w:tc>
              <w:tc>
                <w:tcPr>
                  <w:tcW w:w="282" w:type="pct"/>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368" w:type="pct"/>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920" w:type="pct"/>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1套</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282"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32"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1762" w:type="pct"/>
                  <w:gridSpan w:val="2"/>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控制装置</w:t>
                  </w:r>
                </w:p>
              </w:tc>
              <w:tc>
                <w:tcPr>
                  <w:tcW w:w="105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FKQ6406</w:t>
                  </w:r>
                </w:p>
              </w:tc>
              <w:tc>
                <w:tcPr>
                  <w:tcW w:w="282"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68"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92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1套</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282"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32"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1762" w:type="pct"/>
                  <w:gridSpan w:val="2"/>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司钻控制台</w:t>
                  </w:r>
                </w:p>
              </w:tc>
              <w:tc>
                <w:tcPr>
                  <w:tcW w:w="1050"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282"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68"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92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1套</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282"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32"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1762" w:type="pct"/>
                  <w:gridSpan w:val="2"/>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除气器</w:t>
                  </w:r>
                </w:p>
              </w:tc>
              <w:tc>
                <w:tcPr>
                  <w:tcW w:w="105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CQ1/4</w:t>
                  </w:r>
                </w:p>
              </w:tc>
              <w:tc>
                <w:tcPr>
                  <w:tcW w:w="282"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68"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92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1套</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282"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32"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1762" w:type="pct"/>
                  <w:gridSpan w:val="2"/>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eastAsia="宋体" w:cs="Times New Roman"/>
                      <w:color w:val="auto"/>
                      <w:sz w:val="21"/>
                      <w:szCs w:val="21"/>
                      <w:highlight w:val="none"/>
                      <w:lang w:val="en-US" w:eastAsia="zh-CN"/>
                    </w:rPr>
                  </w:pPr>
                  <w:r>
                    <w:rPr>
                      <w:rFonts w:hint="default"/>
                      <w:color w:val="auto"/>
                      <w:sz w:val="21"/>
                      <w:szCs w:val="21"/>
                      <w:highlight w:val="none"/>
                      <w:lang w:val="en-US" w:eastAsia="zh-CN"/>
                    </w:rPr>
                    <w:t>节流控制箱</w:t>
                  </w:r>
                </w:p>
              </w:tc>
              <w:tc>
                <w:tcPr>
                  <w:tcW w:w="1050" w:type="pct"/>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jc w:val="center"/>
                    <w:textAlignment w:val="auto"/>
                    <w:rPr>
                      <w:rFonts w:hint="default" w:ascii="Times New Roman" w:hAnsi="Times New Roman" w:eastAsia="宋体" w:cs="Times New Roman"/>
                      <w:color w:val="auto"/>
                      <w:spacing w:val="4"/>
                      <w:kern w:val="2"/>
                      <w:sz w:val="21"/>
                      <w:szCs w:val="21"/>
                      <w:highlight w:val="none"/>
                      <w:lang w:val="en-US" w:eastAsia="zh-CN" w:bidi="ar-SA"/>
                    </w:rPr>
                  </w:pPr>
                  <w:r>
                    <w:rPr>
                      <w:rFonts w:hint="default" w:ascii="Times New Roman" w:hAnsi="Times New Roman" w:cs="Times New Roman"/>
                      <w:color w:val="auto"/>
                      <w:spacing w:val="4"/>
                      <w:sz w:val="21"/>
                      <w:szCs w:val="21"/>
                      <w:highlight w:val="none"/>
                    </w:rPr>
                    <w:t>FKQ</w:t>
                  </w:r>
                  <w:r>
                    <w:rPr>
                      <w:rFonts w:hint="default" w:ascii="Times New Roman" w:hAnsi="Times New Roman" w:cs="Times New Roman"/>
                      <w:color w:val="auto"/>
                      <w:spacing w:val="4"/>
                      <w:sz w:val="21"/>
                      <w:szCs w:val="21"/>
                      <w:highlight w:val="none"/>
                      <w:lang w:val="en-US" w:eastAsia="zh-CN"/>
                    </w:rPr>
                    <w:t>8008</w:t>
                  </w:r>
                </w:p>
              </w:tc>
              <w:tc>
                <w:tcPr>
                  <w:tcW w:w="282"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68"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92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eastAsia="宋体" w:cs="Times New Roman"/>
                      <w:color w:val="auto"/>
                      <w:sz w:val="21"/>
                      <w:szCs w:val="21"/>
                      <w:highlight w:val="none"/>
                      <w:lang w:val="en-US" w:eastAsia="zh-CN"/>
                    </w:rPr>
                  </w:pPr>
                  <w:r>
                    <w:rPr>
                      <w:rFonts w:hint="default"/>
                      <w:color w:val="auto"/>
                      <w:sz w:val="21"/>
                      <w:szCs w:val="21"/>
                      <w:highlight w:val="none"/>
                      <w:lang w:val="en-US" w:eastAsia="zh-CN"/>
                    </w:rPr>
                    <w:t>1套</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282"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32"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1762" w:type="pct"/>
                  <w:gridSpan w:val="2"/>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液气分离器</w:t>
                  </w:r>
                </w:p>
              </w:tc>
              <w:tc>
                <w:tcPr>
                  <w:tcW w:w="105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YFQ-1200</w:t>
                  </w:r>
                </w:p>
              </w:tc>
              <w:tc>
                <w:tcPr>
                  <w:tcW w:w="282"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68"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92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1套</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282" w:type="pct"/>
                  <w:vMerge w:val="restar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eastAsia="宋体" w:cs="Times New Roman"/>
                      <w:color w:val="auto"/>
                      <w:sz w:val="21"/>
                      <w:szCs w:val="21"/>
                      <w:highlight w:val="none"/>
                      <w:lang w:val="en-US" w:eastAsia="zh-CN"/>
                    </w:rPr>
                  </w:pPr>
                  <w:r>
                    <w:rPr>
                      <w:rFonts w:hint="default"/>
                      <w:color w:val="auto"/>
                      <w:sz w:val="21"/>
                      <w:szCs w:val="21"/>
                      <w:highlight w:val="none"/>
                    </w:rPr>
                    <w:t>十</w:t>
                  </w:r>
                  <w:r>
                    <w:rPr>
                      <w:rFonts w:hint="default"/>
                      <w:color w:val="auto"/>
                      <w:sz w:val="21"/>
                      <w:szCs w:val="21"/>
                      <w:highlight w:val="none"/>
                      <w:lang w:val="en-US" w:eastAsia="zh-CN"/>
                    </w:rPr>
                    <w:t>二</w:t>
                  </w:r>
                </w:p>
              </w:tc>
              <w:tc>
                <w:tcPr>
                  <w:tcW w:w="332" w:type="pct"/>
                  <w:vMerge w:val="restar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仪器仪表</w:t>
                  </w:r>
                </w:p>
              </w:tc>
              <w:tc>
                <w:tcPr>
                  <w:tcW w:w="1762" w:type="pct"/>
                  <w:gridSpan w:val="2"/>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钻井参数仪表</w:t>
                  </w:r>
                </w:p>
              </w:tc>
              <w:tc>
                <w:tcPr>
                  <w:tcW w:w="105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八参数仪</w:t>
                  </w:r>
                </w:p>
              </w:tc>
              <w:tc>
                <w:tcPr>
                  <w:tcW w:w="282"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68"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92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1套</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282"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32" w:type="pct"/>
                  <w:vMerge w:val="continue"/>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1762" w:type="pct"/>
                  <w:gridSpan w:val="2"/>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测斜仪</w:t>
                  </w:r>
                </w:p>
              </w:tc>
              <w:tc>
                <w:tcPr>
                  <w:tcW w:w="105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单点测斜仪</w:t>
                  </w:r>
                </w:p>
              </w:tc>
              <w:tc>
                <w:tcPr>
                  <w:tcW w:w="282"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68"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92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1套</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282"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eastAsia="宋体" w:cs="Times New Roman"/>
                      <w:color w:val="auto"/>
                      <w:sz w:val="21"/>
                      <w:szCs w:val="21"/>
                      <w:highlight w:val="none"/>
                      <w:lang w:val="en-US" w:eastAsia="zh-CN"/>
                    </w:rPr>
                  </w:pPr>
                  <w:r>
                    <w:rPr>
                      <w:rFonts w:hint="default"/>
                      <w:color w:val="auto"/>
                      <w:sz w:val="21"/>
                      <w:szCs w:val="21"/>
                      <w:highlight w:val="none"/>
                    </w:rPr>
                    <w:t>十</w:t>
                  </w:r>
                  <w:r>
                    <w:rPr>
                      <w:rFonts w:hint="default"/>
                      <w:color w:val="auto"/>
                      <w:sz w:val="21"/>
                      <w:szCs w:val="21"/>
                      <w:highlight w:val="none"/>
                      <w:lang w:val="en-US" w:eastAsia="zh-CN"/>
                    </w:rPr>
                    <w:t>三</w:t>
                  </w:r>
                </w:p>
              </w:tc>
              <w:tc>
                <w:tcPr>
                  <w:tcW w:w="2094" w:type="pct"/>
                  <w:gridSpan w:val="3"/>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bookmarkStart w:id="45" w:name="OLE_LINK3"/>
                  <w:r>
                    <w:rPr>
                      <w:rFonts w:hint="default"/>
                      <w:color w:val="auto"/>
                      <w:sz w:val="21"/>
                      <w:szCs w:val="21"/>
                      <w:highlight w:val="none"/>
                    </w:rPr>
                    <w:t>H</w:t>
                  </w:r>
                  <w:r>
                    <w:rPr>
                      <w:rFonts w:hint="default"/>
                      <w:color w:val="auto"/>
                      <w:sz w:val="21"/>
                      <w:szCs w:val="21"/>
                      <w:highlight w:val="none"/>
                      <w:vertAlign w:val="subscript"/>
                    </w:rPr>
                    <w:t>2</w:t>
                  </w:r>
                  <w:r>
                    <w:rPr>
                      <w:rFonts w:hint="default"/>
                      <w:color w:val="auto"/>
                      <w:sz w:val="21"/>
                      <w:szCs w:val="21"/>
                      <w:highlight w:val="none"/>
                    </w:rPr>
                    <w:t>S监测仪</w:t>
                  </w:r>
                  <w:bookmarkEnd w:id="45"/>
                </w:p>
              </w:tc>
              <w:tc>
                <w:tcPr>
                  <w:tcW w:w="105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便携式</w:t>
                  </w:r>
                </w:p>
              </w:tc>
              <w:tc>
                <w:tcPr>
                  <w:tcW w:w="282"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68"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92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1套</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282"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eastAsia="宋体" w:cs="Times New Roman"/>
                      <w:color w:val="auto"/>
                      <w:sz w:val="21"/>
                      <w:szCs w:val="21"/>
                      <w:highlight w:val="none"/>
                      <w:lang w:val="en-US" w:eastAsia="zh-CN"/>
                    </w:rPr>
                  </w:pPr>
                  <w:r>
                    <w:rPr>
                      <w:rFonts w:hint="default"/>
                      <w:color w:val="auto"/>
                      <w:sz w:val="21"/>
                      <w:szCs w:val="21"/>
                      <w:highlight w:val="none"/>
                    </w:rPr>
                    <w:t>十</w:t>
                  </w:r>
                  <w:r>
                    <w:rPr>
                      <w:rFonts w:hint="default"/>
                      <w:color w:val="auto"/>
                      <w:sz w:val="21"/>
                      <w:szCs w:val="21"/>
                      <w:highlight w:val="none"/>
                      <w:lang w:val="en-US" w:eastAsia="zh-CN"/>
                    </w:rPr>
                    <w:t>四</w:t>
                  </w:r>
                </w:p>
              </w:tc>
              <w:tc>
                <w:tcPr>
                  <w:tcW w:w="2094" w:type="pct"/>
                  <w:gridSpan w:val="3"/>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液压大钳</w:t>
                  </w:r>
                </w:p>
              </w:tc>
              <w:tc>
                <w:tcPr>
                  <w:tcW w:w="1050"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282"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368"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cs="Times New Roman"/>
                      <w:color w:val="auto"/>
                      <w:sz w:val="21"/>
                      <w:szCs w:val="21"/>
                      <w:highlight w:val="none"/>
                    </w:rPr>
                  </w:pPr>
                </w:p>
              </w:tc>
              <w:tc>
                <w:tcPr>
                  <w:tcW w:w="92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default"/>
                      <w:color w:val="auto"/>
                      <w:sz w:val="21"/>
                      <w:szCs w:val="21"/>
                      <w:highlight w:val="none"/>
                    </w:rPr>
                    <w:t>1台</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282"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color w:val="auto"/>
                      <w:sz w:val="21"/>
                      <w:szCs w:val="21"/>
                      <w:highlight w:val="none"/>
                    </w:rPr>
                  </w:pPr>
                  <w:r>
                    <w:rPr>
                      <w:rFonts w:hint="default"/>
                      <w:color w:val="auto"/>
                      <w:sz w:val="21"/>
                      <w:szCs w:val="21"/>
                      <w:highlight w:val="none"/>
                    </w:rPr>
                    <w:t>十</w:t>
                  </w:r>
                  <w:r>
                    <w:rPr>
                      <w:rFonts w:hint="default"/>
                      <w:color w:val="auto"/>
                      <w:sz w:val="21"/>
                      <w:szCs w:val="21"/>
                      <w:highlight w:val="none"/>
                      <w:lang w:val="en-US" w:eastAsia="zh-CN"/>
                    </w:rPr>
                    <w:t>五</w:t>
                  </w:r>
                </w:p>
              </w:tc>
              <w:tc>
                <w:tcPr>
                  <w:tcW w:w="2094" w:type="pct"/>
                  <w:gridSpan w:val="3"/>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color w:val="auto"/>
                      <w:sz w:val="21"/>
                      <w:szCs w:val="21"/>
                      <w:highlight w:val="none"/>
                    </w:rPr>
                    <w:t>柴油储罐</w:t>
                  </w:r>
                </w:p>
              </w:tc>
              <w:tc>
                <w:tcPr>
                  <w:tcW w:w="1050"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eastAsia="宋体" w:cs="Times New Roman"/>
                      <w:color w:val="auto"/>
                      <w:kern w:val="2"/>
                      <w:sz w:val="21"/>
                      <w:szCs w:val="21"/>
                      <w:highlight w:val="none"/>
                      <w:lang w:val="en-US" w:eastAsia="zh-CN" w:bidi="ar-SA"/>
                    </w:rPr>
                  </w:pPr>
                </w:p>
              </w:tc>
              <w:tc>
                <w:tcPr>
                  <w:tcW w:w="282"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eastAsia="宋体" w:cs="Times New Roman"/>
                      <w:color w:val="auto"/>
                      <w:kern w:val="2"/>
                      <w:sz w:val="21"/>
                      <w:szCs w:val="21"/>
                      <w:highlight w:val="none"/>
                      <w:lang w:val="en-US" w:eastAsia="zh-CN" w:bidi="ar-SA"/>
                    </w:rPr>
                  </w:pPr>
                </w:p>
              </w:tc>
              <w:tc>
                <w:tcPr>
                  <w:tcW w:w="368"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color w:val="auto"/>
                      <w:sz w:val="21"/>
                      <w:szCs w:val="21"/>
                      <w:highlight w:val="none"/>
                      <w:lang w:val="en-US" w:eastAsia="zh-CN"/>
                    </w:rPr>
                    <w:t>30</w:t>
                  </w:r>
                  <w:bookmarkStart w:id="46" w:name="OLE_LINK37"/>
                  <w:r>
                    <w:rPr>
                      <w:rFonts w:hint="default"/>
                      <w:color w:val="auto"/>
                      <w:sz w:val="21"/>
                      <w:szCs w:val="21"/>
                      <w:highlight w:val="none"/>
                    </w:rPr>
                    <w:t>m³</w:t>
                  </w:r>
                  <w:bookmarkEnd w:id="46"/>
                </w:p>
              </w:tc>
              <w:tc>
                <w:tcPr>
                  <w:tcW w:w="92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1</w:t>
                  </w:r>
                  <w:r>
                    <w:rPr>
                      <w:rFonts w:hint="default"/>
                      <w:color w:val="auto"/>
                      <w:sz w:val="21"/>
                      <w:szCs w:val="21"/>
                      <w:highlight w:val="none"/>
                    </w:rPr>
                    <w:t>座</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47" w:hRule="atLeast"/>
                <w:jc w:val="center"/>
              </w:trPr>
              <w:tc>
                <w:tcPr>
                  <w:tcW w:w="282"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color w:val="auto"/>
                      <w:sz w:val="21"/>
                      <w:szCs w:val="21"/>
                      <w:highlight w:val="none"/>
                    </w:rPr>
                  </w:pPr>
                  <w:r>
                    <w:rPr>
                      <w:rFonts w:hint="eastAsia"/>
                      <w:color w:val="auto"/>
                      <w:sz w:val="21"/>
                      <w:szCs w:val="21"/>
                      <w:highlight w:val="none"/>
                      <w:lang w:val="en-US" w:eastAsia="zh-CN"/>
                    </w:rPr>
                    <w:t>十六</w:t>
                  </w:r>
                </w:p>
              </w:tc>
              <w:tc>
                <w:tcPr>
                  <w:tcW w:w="2094" w:type="pct"/>
                  <w:gridSpan w:val="3"/>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color w:val="auto"/>
                      <w:sz w:val="21"/>
                      <w:szCs w:val="21"/>
                      <w:highlight w:val="none"/>
                    </w:rPr>
                  </w:pPr>
                  <w:r>
                    <w:rPr>
                      <w:rFonts w:hint="eastAsia"/>
                      <w:color w:val="auto"/>
                      <w:sz w:val="21"/>
                      <w:szCs w:val="21"/>
                      <w:highlight w:val="none"/>
                      <w:lang w:val="en-US" w:eastAsia="zh-CN"/>
                    </w:rPr>
                    <w:t>水基钻井岩屑罐</w:t>
                  </w:r>
                </w:p>
              </w:tc>
              <w:tc>
                <w:tcPr>
                  <w:tcW w:w="1050"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eastAsia="宋体" w:cs="Times New Roman"/>
                      <w:color w:val="auto"/>
                      <w:kern w:val="2"/>
                      <w:sz w:val="21"/>
                      <w:szCs w:val="21"/>
                      <w:highlight w:val="none"/>
                      <w:lang w:val="en-US" w:eastAsia="zh-CN" w:bidi="ar-SA"/>
                    </w:rPr>
                  </w:pPr>
                </w:p>
              </w:tc>
              <w:tc>
                <w:tcPr>
                  <w:tcW w:w="282"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eastAsia="宋体" w:cs="Times New Roman"/>
                      <w:color w:val="auto"/>
                      <w:kern w:val="2"/>
                      <w:sz w:val="21"/>
                      <w:szCs w:val="21"/>
                      <w:highlight w:val="none"/>
                      <w:lang w:val="en-US" w:eastAsia="zh-CN" w:bidi="ar-SA"/>
                    </w:rPr>
                  </w:pPr>
                </w:p>
              </w:tc>
              <w:tc>
                <w:tcPr>
                  <w:tcW w:w="368"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jc w:val="center"/>
                    <w:textAlignment w:val="auto"/>
                    <w:rPr>
                      <w:rFonts w:hint="default"/>
                      <w:color w:val="auto"/>
                      <w:sz w:val="21"/>
                      <w:szCs w:val="21"/>
                      <w:highlight w:val="none"/>
                      <w:lang w:val="en-US" w:eastAsia="zh-CN"/>
                    </w:rPr>
                  </w:pPr>
                  <w:r>
                    <w:rPr>
                      <w:rFonts w:hint="eastAsia" w:cs="Times New Roman"/>
                      <w:color w:val="auto"/>
                      <w:sz w:val="21"/>
                      <w:szCs w:val="21"/>
                      <w:highlight w:val="none"/>
                      <w:lang w:val="en-US" w:eastAsia="zh-CN"/>
                    </w:rPr>
                    <w:t>25</w:t>
                  </w:r>
                  <w:r>
                    <w:rPr>
                      <w:rFonts w:hint="default"/>
                      <w:color w:val="auto"/>
                      <w:sz w:val="21"/>
                      <w:szCs w:val="21"/>
                      <w:highlight w:val="none"/>
                    </w:rPr>
                    <w:t>m³</w:t>
                  </w:r>
                </w:p>
              </w:tc>
              <w:tc>
                <w:tcPr>
                  <w:tcW w:w="92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color w:val="auto"/>
                      <w:sz w:val="21"/>
                      <w:szCs w:val="21"/>
                      <w:highlight w:val="none"/>
                      <w:lang w:val="en-US" w:eastAsia="zh-CN"/>
                    </w:rPr>
                  </w:pPr>
                  <w:r>
                    <w:rPr>
                      <w:rFonts w:hint="eastAsia"/>
                      <w:color w:val="auto"/>
                      <w:sz w:val="21"/>
                      <w:szCs w:val="21"/>
                      <w:highlight w:val="none"/>
                      <w:lang w:val="en-US" w:eastAsia="zh-CN"/>
                    </w:rPr>
                    <w:t>4座</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282"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color w:val="auto"/>
                      <w:sz w:val="21"/>
                      <w:szCs w:val="21"/>
                      <w:highlight w:val="none"/>
                    </w:rPr>
                  </w:pPr>
                  <w:r>
                    <w:rPr>
                      <w:rFonts w:hint="eastAsia"/>
                      <w:color w:val="auto"/>
                      <w:sz w:val="21"/>
                      <w:szCs w:val="21"/>
                      <w:highlight w:val="none"/>
                      <w:lang w:val="en-US" w:eastAsia="zh-CN"/>
                    </w:rPr>
                    <w:t>十七</w:t>
                  </w:r>
                </w:p>
              </w:tc>
              <w:tc>
                <w:tcPr>
                  <w:tcW w:w="2094" w:type="pct"/>
                  <w:gridSpan w:val="3"/>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default" w:ascii="Times New Roman" w:hAnsi="Times New Roman" w:cs="Times New Roman"/>
                      <w:color w:val="auto"/>
                      <w:sz w:val="21"/>
                      <w:szCs w:val="21"/>
                      <w:highlight w:val="none"/>
                    </w:rPr>
                  </w:pPr>
                  <w:r>
                    <w:rPr>
                      <w:rFonts w:hint="eastAsia" w:ascii="Times New Roman" w:eastAsia="宋体"/>
                      <w:color w:val="auto"/>
                      <w:sz w:val="21"/>
                      <w:szCs w:val="21"/>
                      <w:highlight w:val="none"/>
                      <w:lang w:val="en-US" w:eastAsia="zh-CN"/>
                    </w:rPr>
                    <w:t>油基钻井</w:t>
                  </w:r>
                  <w:r>
                    <w:rPr>
                      <w:rFonts w:hint="eastAsia" w:eastAsia="宋体"/>
                      <w:color w:val="auto"/>
                      <w:sz w:val="21"/>
                      <w:szCs w:val="21"/>
                      <w:highlight w:val="none"/>
                      <w:lang w:val="en-US" w:eastAsia="zh-CN"/>
                    </w:rPr>
                    <w:t>岩屑</w:t>
                  </w:r>
                  <w:r>
                    <w:rPr>
                      <w:rFonts w:hint="eastAsia" w:ascii="Times New Roman" w:eastAsia="宋体"/>
                      <w:color w:val="auto"/>
                      <w:sz w:val="21"/>
                      <w:szCs w:val="21"/>
                      <w:highlight w:val="none"/>
                      <w:lang w:val="en-US" w:eastAsia="zh-CN"/>
                    </w:rPr>
                    <w:t>罐</w:t>
                  </w:r>
                </w:p>
              </w:tc>
              <w:tc>
                <w:tcPr>
                  <w:tcW w:w="1050"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eastAsia="宋体" w:cs="Times New Roman"/>
                      <w:color w:val="auto"/>
                      <w:kern w:val="2"/>
                      <w:sz w:val="21"/>
                      <w:szCs w:val="21"/>
                      <w:highlight w:val="none"/>
                      <w:lang w:val="en-US" w:eastAsia="zh-CN" w:bidi="ar-SA"/>
                    </w:rPr>
                  </w:pPr>
                </w:p>
              </w:tc>
              <w:tc>
                <w:tcPr>
                  <w:tcW w:w="282"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textAlignment w:val="auto"/>
                    <w:rPr>
                      <w:rFonts w:hint="default" w:ascii="Times New Roman" w:hAnsi="Times New Roman" w:eastAsia="宋体" w:cs="Times New Roman"/>
                      <w:color w:val="auto"/>
                      <w:kern w:val="2"/>
                      <w:sz w:val="21"/>
                      <w:szCs w:val="21"/>
                      <w:highlight w:val="none"/>
                      <w:lang w:val="en-US" w:eastAsia="zh-CN" w:bidi="ar-SA"/>
                    </w:rPr>
                  </w:pPr>
                </w:p>
              </w:tc>
              <w:tc>
                <w:tcPr>
                  <w:tcW w:w="368" w:type="pct"/>
                  <w:vAlign w:val="center"/>
                </w:tcPr>
                <w:p>
                  <w:pPr>
                    <w:keepNext w:val="0"/>
                    <w:keepLines w:val="0"/>
                    <w:pageBreakBefore w:val="0"/>
                    <w:widowControl w:val="0"/>
                    <w:kinsoku/>
                    <w:wordWrap/>
                    <w:overflowPunct/>
                    <w:topLinePunct w:val="0"/>
                    <w:autoSpaceDE/>
                    <w:autoSpaceDN/>
                    <w:bidi w:val="0"/>
                    <w:adjustRightInd/>
                    <w:snapToGrid w:val="0"/>
                    <w:spacing w:line="240" w:lineRule="atLeast"/>
                    <w:ind w:left="0" w:leftChars="0" w:right="0" w:rightChars="0"/>
                    <w:jc w:val="center"/>
                    <w:textAlignment w:val="auto"/>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25</w:t>
                  </w:r>
                  <w:r>
                    <w:rPr>
                      <w:rFonts w:hint="default"/>
                      <w:color w:val="auto"/>
                      <w:sz w:val="21"/>
                      <w:szCs w:val="21"/>
                      <w:highlight w:val="none"/>
                    </w:rPr>
                    <w:t>m³</w:t>
                  </w:r>
                </w:p>
              </w:tc>
              <w:tc>
                <w:tcPr>
                  <w:tcW w:w="920" w:type="pct"/>
                  <w:vAlign w:val="center"/>
                </w:tcPr>
                <w:p>
                  <w:pPr>
                    <w:pStyle w:val="35"/>
                    <w:keepNext w:val="0"/>
                    <w:keepLines w:val="0"/>
                    <w:pageBreakBefore w:val="0"/>
                    <w:kinsoku/>
                    <w:wordWrap/>
                    <w:overflowPunct/>
                    <w:topLinePunct w:val="0"/>
                    <w:autoSpaceDE/>
                    <w:autoSpaceDN/>
                    <w:bidi w:val="0"/>
                    <w:snapToGrid w:val="0"/>
                    <w:spacing w:line="240" w:lineRule="atLeast"/>
                    <w:textAlignment w:val="auto"/>
                    <w:rPr>
                      <w:rFonts w:hint="eastAsia"/>
                      <w:color w:val="auto"/>
                      <w:sz w:val="21"/>
                      <w:szCs w:val="21"/>
                      <w:highlight w:val="none"/>
                      <w:lang w:val="en-US" w:eastAsia="zh-CN"/>
                    </w:rPr>
                  </w:pPr>
                  <w:r>
                    <w:rPr>
                      <w:rFonts w:hint="eastAsia"/>
                      <w:color w:val="auto"/>
                      <w:sz w:val="21"/>
                      <w:szCs w:val="21"/>
                      <w:highlight w:val="none"/>
                      <w:lang w:val="en-US" w:eastAsia="zh-CN"/>
                    </w:rPr>
                    <w:t>4座</w:t>
                  </w:r>
                </w:p>
              </w:tc>
            </w:tr>
          </w:tbl>
          <w:p>
            <w:pPr>
              <w:snapToGrid w:val="0"/>
              <w:spacing w:line="500" w:lineRule="exact"/>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（3）试油工程</w:t>
            </w:r>
          </w:p>
          <w:p>
            <w:pPr>
              <w:snapToGrid w:val="0"/>
              <w:spacing w:line="500" w:lineRule="exact"/>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在钻井施工完毕后对目的层进行试油作业。试油工程主要包括试油准备、储层改造和试油。</w:t>
            </w:r>
          </w:p>
          <w:p>
            <w:pPr>
              <w:snapToGrid w:val="0"/>
              <w:spacing w:line="500" w:lineRule="exact"/>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①试油准备</w:t>
            </w:r>
          </w:p>
          <w:p>
            <w:pPr>
              <w:snapToGrid w:val="0"/>
              <w:spacing w:line="500" w:lineRule="exact"/>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试油准备主要进行通井、洗井和试压工作。通井时用钻杆或油管带通井规下入井内，检查套管是否有影响试油工具通过的弯曲和固体物质等；洗井使用泵注设备，利用洗井液，通过井内管柱内外循环，清除套管壁杂物等；试压用气体或液体介质，对地面流程、井口设备、井下套管等进行耐压程度检验。</w:t>
            </w:r>
          </w:p>
          <w:p>
            <w:pPr>
              <w:snapToGrid w:val="0"/>
              <w:spacing w:line="500" w:lineRule="exact"/>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②储层改造</w:t>
            </w:r>
          </w:p>
          <w:p>
            <w:pPr>
              <w:snapToGrid w:val="0"/>
              <w:spacing w:line="500" w:lineRule="exact"/>
              <w:ind w:firstLine="480" w:firstLineChars="200"/>
              <w:rPr>
                <w:rFonts w:hint="default" w:ascii="Times New Roman" w:hAnsi="Times New Roman" w:cs="Times New Roman"/>
                <w:color w:val="auto"/>
                <w:highlight w:val="none"/>
                <w:lang w:bidi="ar"/>
              </w:rPr>
            </w:pPr>
            <w:r>
              <w:rPr>
                <w:rFonts w:hint="default" w:ascii="Times New Roman" w:hAnsi="Times New Roman" w:cs="Times New Roman"/>
                <w:color w:val="auto"/>
                <w:highlight w:val="none"/>
                <w:lang w:bidi="ar"/>
              </w:rPr>
              <w:t>储层改造包括</w:t>
            </w:r>
            <w:bookmarkStart w:id="47" w:name="_Hlk183350774"/>
            <w:r>
              <w:rPr>
                <w:rFonts w:hint="default" w:ascii="Times New Roman" w:hAnsi="Times New Roman" w:cs="Times New Roman"/>
                <w:color w:val="auto"/>
                <w:highlight w:val="none"/>
                <w:lang w:bidi="ar"/>
              </w:rPr>
              <w:t>射孔和压裂两个工序</w:t>
            </w:r>
            <w:bookmarkEnd w:id="47"/>
            <w:r>
              <w:rPr>
                <w:rFonts w:hint="default" w:ascii="Times New Roman" w:hAnsi="Times New Roman" w:cs="Times New Roman"/>
                <w:color w:val="auto"/>
                <w:highlight w:val="none"/>
                <w:lang w:bidi="ar"/>
              </w:rPr>
              <w:t>。</w:t>
            </w:r>
            <w:bookmarkStart w:id="48" w:name="_Hlk183352914"/>
            <w:bookmarkStart w:id="49" w:name="OLE_LINK6"/>
            <w:r>
              <w:rPr>
                <w:rFonts w:hint="default" w:ascii="Times New Roman" w:hAnsi="Times New Roman" w:cs="Times New Roman"/>
                <w:color w:val="auto"/>
                <w:highlight w:val="none"/>
                <w:lang w:bidi="ar"/>
              </w:rPr>
              <w:t>射孔时利用专用设备和射孔枪，对套管和井壁进行射孔，建立地层与井筒之间的通道</w:t>
            </w:r>
            <w:bookmarkEnd w:id="48"/>
            <w:r>
              <w:rPr>
                <w:rFonts w:hint="default" w:ascii="Times New Roman" w:hAnsi="Times New Roman" w:cs="Times New Roman"/>
                <w:color w:val="auto"/>
                <w:highlight w:val="none"/>
                <w:lang w:bidi="ar"/>
              </w:rPr>
              <w:t>，射孔方式为：电缆常规射孔；压裂时用泵车将压裂液挤入油层</w:t>
            </w:r>
            <w:bookmarkEnd w:id="49"/>
            <w:r>
              <w:rPr>
                <w:rFonts w:hint="default" w:ascii="Times New Roman" w:hAnsi="Times New Roman" w:cs="Times New Roman"/>
                <w:color w:val="auto"/>
                <w:highlight w:val="none"/>
                <w:lang w:bidi="ar"/>
              </w:rPr>
              <w:t>，当把油层压出许多裂缝后加入支撑剂（如石英砂等），使其充填进裂缝，可有效提高油气层的渗透能力等操作，</w:t>
            </w:r>
            <w:r>
              <w:rPr>
                <w:rFonts w:hint="default" w:ascii="Times New Roman" w:hAnsi="Times New Roman" w:cs="Times New Roman"/>
                <w:color w:val="auto"/>
                <w:highlight w:val="none"/>
                <w:lang w:val="en-US" w:eastAsia="zh-CN" w:bidi="ar"/>
              </w:rPr>
              <w:t>主要压裂设备</w:t>
            </w:r>
            <w:r>
              <w:rPr>
                <w:rFonts w:hint="default" w:ascii="Times New Roman" w:hAnsi="Times New Roman" w:cs="Times New Roman"/>
                <w:color w:val="auto"/>
                <w:highlight w:val="none"/>
                <w:lang w:bidi="ar"/>
              </w:rPr>
              <w:t>见表</w:t>
            </w:r>
            <w:r>
              <w:rPr>
                <w:rFonts w:hint="default" w:ascii="Times New Roman" w:hAnsi="Times New Roman" w:cs="Times New Roman"/>
                <w:color w:val="auto"/>
                <w:highlight w:val="none"/>
                <w:lang w:val="en-US" w:eastAsia="zh-CN" w:bidi="ar"/>
              </w:rPr>
              <w:t>2-5</w:t>
            </w:r>
            <w:r>
              <w:rPr>
                <w:rFonts w:hint="default" w:ascii="Times New Roman" w:hAnsi="Times New Roman" w:cs="Times New Roman"/>
                <w:color w:val="auto"/>
                <w:highlight w:val="none"/>
                <w:lang w:bidi="ar"/>
              </w:rPr>
              <w:t>。</w:t>
            </w:r>
          </w:p>
          <w:p>
            <w:pPr>
              <w:pStyle w:val="56"/>
              <w:bidi w:val="0"/>
              <w:rPr>
                <w:rFonts w:hint="default"/>
                <w:color w:val="auto"/>
                <w:highlight w:val="none"/>
                <w:lang w:val="en-US" w:eastAsia="zh-CN"/>
              </w:rPr>
            </w:pPr>
            <w:r>
              <w:rPr>
                <w:rFonts w:hint="default"/>
                <w:color w:val="auto"/>
                <w:highlight w:val="none"/>
              </w:rPr>
              <w:t>表</w:t>
            </w:r>
            <w:r>
              <w:rPr>
                <w:rFonts w:hint="default"/>
                <w:color w:val="auto"/>
                <w:highlight w:val="none"/>
                <w:lang w:val="en-US" w:eastAsia="zh-CN"/>
              </w:rPr>
              <w:t>2-5</w:t>
            </w:r>
            <w:r>
              <w:rPr>
                <w:rFonts w:hint="default"/>
                <w:color w:val="auto"/>
                <w:highlight w:val="none"/>
              </w:rPr>
              <w:t xml:space="preserve">  压裂主要设备</w:t>
            </w:r>
            <w:r>
              <w:rPr>
                <w:rFonts w:hint="default"/>
                <w:color w:val="auto"/>
                <w:highlight w:val="none"/>
                <w:lang w:val="en-US" w:eastAsia="zh-CN"/>
              </w:rPr>
              <w:t>一览表</w:t>
            </w:r>
          </w:p>
          <w:tbl>
            <w:tblPr>
              <w:tblStyle w:val="2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09"/>
              <w:gridCol w:w="2175"/>
              <w:gridCol w:w="1902"/>
              <w:gridCol w:w="256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70" w:type="pct"/>
                  <w:vAlign w:val="center"/>
                </w:tcPr>
                <w:p>
                  <w:pPr>
                    <w:pStyle w:val="35"/>
                    <w:bidi w:val="0"/>
                    <w:rPr>
                      <w:rFonts w:hint="default"/>
                      <w:color w:val="auto"/>
                      <w:highlight w:val="none"/>
                    </w:rPr>
                  </w:pPr>
                  <w:r>
                    <w:rPr>
                      <w:rFonts w:hint="default"/>
                      <w:color w:val="auto"/>
                      <w:highlight w:val="none"/>
                    </w:rPr>
                    <w:t>阶段</w:t>
                  </w:r>
                </w:p>
              </w:tc>
              <w:tc>
                <w:tcPr>
                  <w:tcW w:w="1385" w:type="pct"/>
                  <w:vAlign w:val="center"/>
                </w:tcPr>
                <w:p>
                  <w:pPr>
                    <w:pStyle w:val="35"/>
                    <w:bidi w:val="0"/>
                    <w:rPr>
                      <w:rFonts w:hint="default"/>
                      <w:color w:val="auto"/>
                      <w:highlight w:val="none"/>
                    </w:rPr>
                  </w:pPr>
                  <w:r>
                    <w:rPr>
                      <w:rFonts w:hint="default"/>
                      <w:color w:val="auto"/>
                      <w:highlight w:val="none"/>
                    </w:rPr>
                    <w:t>设备名称</w:t>
                  </w:r>
                </w:p>
              </w:tc>
              <w:tc>
                <w:tcPr>
                  <w:tcW w:w="1211" w:type="pct"/>
                  <w:vAlign w:val="center"/>
                </w:tcPr>
                <w:p>
                  <w:pPr>
                    <w:pStyle w:val="35"/>
                    <w:bidi w:val="0"/>
                    <w:rPr>
                      <w:rFonts w:hint="default"/>
                      <w:color w:val="auto"/>
                      <w:highlight w:val="none"/>
                    </w:rPr>
                  </w:pPr>
                  <w:r>
                    <w:rPr>
                      <w:rFonts w:hint="default"/>
                      <w:color w:val="auto"/>
                      <w:highlight w:val="none"/>
                    </w:rPr>
                    <w:t>主要型号</w:t>
                  </w:r>
                </w:p>
              </w:tc>
              <w:tc>
                <w:tcPr>
                  <w:tcW w:w="1634" w:type="pct"/>
                  <w:vAlign w:val="center"/>
                </w:tcPr>
                <w:p>
                  <w:pPr>
                    <w:pStyle w:val="35"/>
                    <w:bidi w:val="0"/>
                    <w:rPr>
                      <w:rFonts w:hint="default"/>
                      <w:color w:val="auto"/>
                      <w:highlight w:val="none"/>
                    </w:rPr>
                  </w:pPr>
                  <w:r>
                    <w:rPr>
                      <w:rFonts w:hint="default"/>
                      <w:color w:val="auto"/>
                      <w:highlight w:val="none"/>
                    </w:rPr>
                    <w:t>数量（台/座）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70" w:type="pct"/>
                  <w:vMerge w:val="restart"/>
                  <w:vAlign w:val="center"/>
                </w:tcPr>
                <w:p>
                  <w:pPr>
                    <w:pStyle w:val="35"/>
                    <w:bidi w:val="0"/>
                    <w:rPr>
                      <w:rFonts w:hint="default"/>
                      <w:color w:val="auto"/>
                      <w:highlight w:val="none"/>
                    </w:rPr>
                  </w:pPr>
                  <w:r>
                    <w:rPr>
                      <w:rFonts w:hint="default"/>
                      <w:color w:val="auto"/>
                      <w:highlight w:val="none"/>
                    </w:rPr>
                    <w:t>压裂</w:t>
                  </w:r>
                </w:p>
              </w:tc>
              <w:tc>
                <w:tcPr>
                  <w:tcW w:w="1385" w:type="pct"/>
                  <w:vAlign w:val="center"/>
                </w:tcPr>
                <w:p>
                  <w:pPr>
                    <w:pStyle w:val="35"/>
                    <w:bidi w:val="0"/>
                    <w:rPr>
                      <w:rFonts w:hint="default"/>
                      <w:color w:val="auto"/>
                      <w:highlight w:val="none"/>
                    </w:rPr>
                  </w:pPr>
                  <w:r>
                    <w:rPr>
                      <w:rFonts w:hint="default"/>
                      <w:color w:val="auto"/>
                      <w:highlight w:val="none"/>
                    </w:rPr>
                    <w:t>压裂车</w:t>
                  </w:r>
                </w:p>
              </w:tc>
              <w:tc>
                <w:tcPr>
                  <w:tcW w:w="1211" w:type="pct"/>
                  <w:vAlign w:val="center"/>
                </w:tcPr>
                <w:p>
                  <w:pPr>
                    <w:pStyle w:val="35"/>
                    <w:bidi w:val="0"/>
                    <w:rPr>
                      <w:rFonts w:hint="default"/>
                      <w:color w:val="auto"/>
                      <w:highlight w:val="none"/>
                    </w:rPr>
                  </w:pPr>
                  <w:r>
                    <w:rPr>
                      <w:rFonts w:hint="default"/>
                      <w:color w:val="auto"/>
                      <w:highlight w:val="none"/>
                    </w:rPr>
                    <w:t>2500型</w:t>
                  </w:r>
                </w:p>
              </w:tc>
              <w:tc>
                <w:tcPr>
                  <w:tcW w:w="1634" w:type="pct"/>
                  <w:vAlign w:val="center"/>
                </w:tcPr>
                <w:p>
                  <w:pPr>
                    <w:pStyle w:val="35"/>
                    <w:bidi w:val="0"/>
                    <w:rPr>
                      <w:rFonts w:hint="default"/>
                      <w:color w:val="auto"/>
                      <w:highlight w:val="none"/>
                    </w:rPr>
                  </w:pPr>
                  <w:r>
                    <w:rPr>
                      <w:rFonts w:hint="default"/>
                      <w:color w:val="auto"/>
                      <w:highlight w:val="none"/>
                    </w:rPr>
                    <w:t>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70" w:type="pct"/>
                  <w:vMerge w:val="continue"/>
                  <w:vAlign w:val="center"/>
                </w:tcPr>
                <w:p>
                  <w:pPr>
                    <w:pStyle w:val="35"/>
                    <w:bidi w:val="0"/>
                    <w:rPr>
                      <w:rFonts w:hint="default"/>
                      <w:color w:val="auto"/>
                      <w:highlight w:val="none"/>
                    </w:rPr>
                  </w:pPr>
                </w:p>
              </w:tc>
              <w:tc>
                <w:tcPr>
                  <w:tcW w:w="1385" w:type="pct"/>
                  <w:vAlign w:val="center"/>
                </w:tcPr>
                <w:p>
                  <w:pPr>
                    <w:pStyle w:val="35"/>
                    <w:bidi w:val="0"/>
                    <w:rPr>
                      <w:rFonts w:hint="default"/>
                      <w:color w:val="auto"/>
                      <w:highlight w:val="none"/>
                    </w:rPr>
                  </w:pPr>
                  <w:r>
                    <w:rPr>
                      <w:rFonts w:hint="default"/>
                      <w:color w:val="auto"/>
                      <w:highlight w:val="none"/>
                    </w:rPr>
                    <w:t>混砂车</w:t>
                  </w:r>
                </w:p>
              </w:tc>
              <w:tc>
                <w:tcPr>
                  <w:tcW w:w="1211" w:type="pct"/>
                  <w:vAlign w:val="center"/>
                </w:tcPr>
                <w:p>
                  <w:pPr>
                    <w:pStyle w:val="35"/>
                    <w:bidi w:val="0"/>
                    <w:rPr>
                      <w:rFonts w:hint="default"/>
                      <w:color w:val="auto"/>
                      <w:highlight w:val="none"/>
                    </w:rPr>
                  </w:pPr>
                  <w:r>
                    <w:rPr>
                      <w:rFonts w:hint="default"/>
                      <w:color w:val="auto"/>
                      <w:highlight w:val="none"/>
                    </w:rPr>
                    <w:t>/</w:t>
                  </w:r>
                </w:p>
              </w:tc>
              <w:tc>
                <w:tcPr>
                  <w:tcW w:w="1634" w:type="pct"/>
                  <w:vAlign w:val="center"/>
                </w:tcPr>
                <w:p>
                  <w:pPr>
                    <w:pStyle w:val="35"/>
                    <w:bidi w:val="0"/>
                    <w:rPr>
                      <w:rFonts w:hint="default"/>
                      <w:color w:val="auto"/>
                      <w:highlight w:val="none"/>
                    </w:rPr>
                  </w:pPr>
                  <w:r>
                    <w:rPr>
                      <w:rFonts w:hint="default"/>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70" w:type="pct"/>
                  <w:vMerge w:val="continue"/>
                  <w:vAlign w:val="center"/>
                </w:tcPr>
                <w:p>
                  <w:pPr>
                    <w:pStyle w:val="35"/>
                    <w:bidi w:val="0"/>
                    <w:rPr>
                      <w:rFonts w:hint="default"/>
                      <w:color w:val="auto"/>
                      <w:highlight w:val="none"/>
                    </w:rPr>
                  </w:pPr>
                </w:p>
              </w:tc>
              <w:tc>
                <w:tcPr>
                  <w:tcW w:w="1385" w:type="pct"/>
                  <w:vAlign w:val="center"/>
                </w:tcPr>
                <w:p>
                  <w:pPr>
                    <w:pStyle w:val="35"/>
                    <w:bidi w:val="0"/>
                    <w:rPr>
                      <w:rFonts w:hint="default"/>
                      <w:color w:val="auto"/>
                      <w:highlight w:val="none"/>
                    </w:rPr>
                  </w:pPr>
                  <w:r>
                    <w:rPr>
                      <w:rFonts w:hint="default"/>
                      <w:color w:val="auto"/>
                      <w:highlight w:val="none"/>
                    </w:rPr>
                    <w:t>仪表车</w:t>
                  </w:r>
                </w:p>
              </w:tc>
              <w:tc>
                <w:tcPr>
                  <w:tcW w:w="1211" w:type="pct"/>
                  <w:vAlign w:val="center"/>
                </w:tcPr>
                <w:p>
                  <w:pPr>
                    <w:pStyle w:val="35"/>
                    <w:bidi w:val="0"/>
                    <w:rPr>
                      <w:rFonts w:hint="default"/>
                      <w:color w:val="auto"/>
                      <w:highlight w:val="none"/>
                    </w:rPr>
                  </w:pPr>
                  <w:r>
                    <w:rPr>
                      <w:rFonts w:hint="default"/>
                      <w:color w:val="auto"/>
                      <w:highlight w:val="none"/>
                    </w:rPr>
                    <w:t>/</w:t>
                  </w:r>
                </w:p>
              </w:tc>
              <w:tc>
                <w:tcPr>
                  <w:tcW w:w="1634" w:type="pct"/>
                  <w:vAlign w:val="center"/>
                </w:tcPr>
                <w:p>
                  <w:pPr>
                    <w:pStyle w:val="35"/>
                    <w:bidi w:val="0"/>
                    <w:rPr>
                      <w:rFonts w:hint="default"/>
                      <w:color w:val="auto"/>
                      <w:highlight w:val="none"/>
                    </w:rPr>
                  </w:pPr>
                  <w:r>
                    <w:rPr>
                      <w:rFonts w:hint="default"/>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70" w:type="pct"/>
                  <w:vMerge w:val="continue"/>
                  <w:vAlign w:val="center"/>
                </w:tcPr>
                <w:p>
                  <w:pPr>
                    <w:pStyle w:val="35"/>
                    <w:bidi w:val="0"/>
                    <w:rPr>
                      <w:rFonts w:hint="default"/>
                      <w:color w:val="auto"/>
                      <w:highlight w:val="none"/>
                    </w:rPr>
                  </w:pPr>
                </w:p>
              </w:tc>
              <w:tc>
                <w:tcPr>
                  <w:tcW w:w="1385" w:type="pct"/>
                  <w:vAlign w:val="center"/>
                </w:tcPr>
                <w:p>
                  <w:pPr>
                    <w:pStyle w:val="35"/>
                    <w:bidi w:val="0"/>
                    <w:rPr>
                      <w:rFonts w:hint="default"/>
                      <w:color w:val="auto"/>
                      <w:highlight w:val="none"/>
                    </w:rPr>
                  </w:pPr>
                  <w:r>
                    <w:rPr>
                      <w:rFonts w:hint="default"/>
                      <w:color w:val="auto"/>
                      <w:highlight w:val="none"/>
                    </w:rPr>
                    <w:t>砂罐车</w:t>
                  </w:r>
                </w:p>
              </w:tc>
              <w:tc>
                <w:tcPr>
                  <w:tcW w:w="1211" w:type="pct"/>
                  <w:vAlign w:val="center"/>
                </w:tcPr>
                <w:p>
                  <w:pPr>
                    <w:pStyle w:val="35"/>
                    <w:bidi w:val="0"/>
                    <w:rPr>
                      <w:rFonts w:hint="default"/>
                      <w:color w:val="auto"/>
                      <w:highlight w:val="none"/>
                    </w:rPr>
                  </w:pPr>
                  <w:r>
                    <w:rPr>
                      <w:rFonts w:hint="default"/>
                      <w:color w:val="auto"/>
                      <w:highlight w:val="none"/>
                    </w:rPr>
                    <w:t>/</w:t>
                  </w:r>
                </w:p>
              </w:tc>
              <w:tc>
                <w:tcPr>
                  <w:tcW w:w="1634" w:type="pct"/>
                  <w:vAlign w:val="center"/>
                </w:tcPr>
                <w:p>
                  <w:pPr>
                    <w:pStyle w:val="35"/>
                    <w:bidi w:val="0"/>
                    <w:rPr>
                      <w:rFonts w:hint="default"/>
                      <w:color w:val="auto"/>
                      <w:highlight w:val="none"/>
                    </w:rPr>
                  </w:pPr>
                  <w:r>
                    <w:rPr>
                      <w:rFonts w:hint="default"/>
                      <w:color w:val="auto"/>
                      <w:highlight w:val="none"/>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70" w:type="pct"/>
                  <w:vMerge w:val="restart"/>
                  <w:vAlign w:val="center"/>
                </w:tcPr>
                <w:p>
                  <w:pPr>
                    <w:pStyle w:val="35"/>
                    <w:bidi w:val="0"/>
                    <w:rPr>
                      <w:rFonts w:hint="default"/>
                      <w:color w:val="auto"/>
                      <w:highlight w:val="none"/>
                    </w:rPr>
                  </w:pPr>
                  <w:r>
                    <w:rPr>
                      <w:rFonts w:hint="default"/>
                      <w:color w:val="auto"/>
                      <w:highlight w:val="none"/>
                    </w:rPr>
                    <w:t>射孔</w:t>
                  </w:r>
                </w:p>
              </w:tc>
              <w:tc>
                <w:tcPr>
                  <w:tcW w:w="1385" w:type="pct"/>
                  <w:vAlign w:val="center"/>
                </w:tcPr>
                <w:p>
                  <w:pPr>
                    <w:pStyle w:val="35"/>
                    <w:bidi w:val="0"/>
                    <w:rPr>
                      <w:rFonts w:hint="default"/>
                      <w:color w:val="auto"/>
                      <w:highlight w:val="none"/>
                    </w:rPr>
                  </w:pPr>
                  <w:r>
                    <w:rPr>
                      <w:rFonts w:hint="default"/>
                      <w:color w:val="auto"/>
                      <w:highlight w:val="none"/>
                    </w:rPr>
                    <w:t>射孔车</w:t>
                  </w:r>
                </w:p>
              </w:tc>
              <w:tc>
                <w:tcPr>
                  <w:tcW w:w="1211" w:type="pct"/>
                  <w:vAlign w:val="center"/>
                </w:tcPr>
                <w:p>
                  <w:pPr>
                    <w:pStyle w:val="35"/>
                    <w:bidi w:val="0"/>
                    <w:rPr>
                      <w:rFonts w:hint="default"/>
                      <w:color w:val="auto"/>
                      <w:highlight w:val="none"/>
                    </w:rPr>
                  </w:pPr>
                  <w:r>
                    <w:rPr>
                      <w:rFonts w:hint="default"/>
                      <w:color w:val="auto"/>
                      <w:highlight w:val="none"/>
                    </w:rPr>
                    <w:t>/</w:t>
                  </w:r>
                </w:p>
              </w:tc>
              <w:tc>
                <w:tcPr>
                  <w:tcW w:w="1634" w:type="pct"/>
                  <w:vAlign w:val="center"/>
                </w:tcPr>
                <w:p>
                  <w:pPr>
                    <w:pStyle w:val="35"/>
                    <w:bidi w:val="0"/>
                    <w:rPr>
                      <w:rFonts w:hint="default"/>
                      <w:color w:val="auto"/>
                      <w:highlight w:val="none"/>
                    </w:rPr>
                  </w:pPr>
                  <w:r>
                    <w:rPr>
                      <w:rFonts w:hint="default"/>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70" w:type="pct"/>
                  <w:vMerge w:val="continue"/>
                  <w:vAlign w:val="center"/>
                </w:tcPr>
                <w:p>
                  <w:pPr>
                    <w:pStyle w:val="35"/>
                    <w:bidi w:val="0"/>
                    <w:rPr>
                      <w:rFonts w:hint="default"/>
                      <w:color w:val="auto"/>
                      <w:highlight w:val="none"/>
                    </w:rPr>
                  </w:pPr>
                </w:p>
              </w:tc>
              <w:tc>
                <w:tcPr>
                  <w:tcW w:w="1385" w:type="pct"/>
                  <w:vAlign w:val="center"/>
                </w:tcPr>
                <w:p>
                  <w:pPr>
                    <w:pStyle w:val="35"/>
                    <w:bidi w:val="0"/>
                    <w:rPr>
                      <w:rFonts w:hint="default"/>
                      <w:color w:val="auto"/>
                      <w:highlight w:val="none"/>
                    </w:rPr>
                  </w:pPr>
                  <w:r>
                    <w:rPr>
                      <w:rFonts w:hint="default"/>
                      <w:color w:val="auto"/>
                      <w:highlight w:val="none"/>
                    </w:rPr>
                    <w:t>射孔工具车</w:t>
                  </w:r>
                </w:p>
              </w:tc>
              <w:tc>
                <w:tcPr>
                  <w:tcW w:w="1211" w:type="pct"/>
                  <w:vAlign w:val="center"/>
                </w:tcPr>
                <w:p>
                  <w:pPr>
                    <w:pStyle w:val="35"/>
                    <w:bidi w:val="0"/>
                    <w:rPr>
                      <w:rFonts w:hint="default"/>
                      <w:color w:val="auto"/>
                      <w:highlight w:val="none"/>
                    </w:rPr>
                  </w:pPr>
                  <w:r>
                    <w:rPr>
                      <w:rFonts w:hint="default"/>
                      <w:color w:val="auto"/>
                      <w:highlight w:val="none"/>
                    </w:rPr>
                    <w:t>/</w:t>
                  </w:r>
                </w:p>
              </w:tc>
              <w:tc>
                <w:tcPr>
                  <w:tcW w:w="1634" w:type="pct"/>
                  <w:vAlign w:val="center"/>
                </w:tcPr>
                <w:p>
                  <w:pPr>
                    <w:pStyle w:val="35"/>
                    <w:bidi w:val="0"/>
                    <w:rPr>
                      <w:rFonts w:hint="default"/>
                      <w:color w:val="auto"/>
                      <w:highlight w:val="none"/>
                    </w:rPr>
                  </w:pPr>
                  <w:r>
                    <w:rPr>
                      <w:rFonts w:hint="default"/>
                      <w:color w:val="auto"/>
                      <w:highlight w:val="none"/>
                    </w:rPr>
                    <w:t>1</w:t>
                  </w:r>
                </w:p>
              </w:tc>
            </w:tr>
          </w:tbl>
          <w:p>
            <w:pPr>
              <w:snapToGrid w:val="0"/>
              <w:spacing w:line="500" w:lineRule="exact"/>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③试油</w:t>
            </w:r>
          </w:p>
          <w:p>
            <w:pPr>
              <w:pStyle w:val="10"/>
              <w:bidi w:val="0"/>
              <w:rPr>
                <w:rFonts w:hint="default"/>
                <w:color w:val="auto"/>
              </w:rPr>
            </w:pPr>
            <w:r>
              <w:rPr>
                <w:rFonts w:hint="default"/>
              </w:rPr>
              <w:t>试油是利用专用的设备和方法，就初步确定的可能含油（气）层位进行直接</w:t>
            </w:r>
            <w:r>
              <w:rPr>
                <w:rFonts w:hint="default"/>
                <w:color w:val="auto"/>
              </w:rPr>
              <w:t>的测试，并取得目的层的产能、压力、温度、油气水性质以及地质资料的工艺过程。</w:t>
            </w:r>
            <w:r>
              <w:rPr>
                <w:rFonts w:hint="eastAsia"/>
                <w:color w:val="auto"/>
                <w:lang w:eastAsia="zh-CN"/>
              </w:rPr>
              <w:t>试油</w:t>
            </w:r>
            <w:r>
              <w:rPr>
                <w:rFonts w:hint="default"/>
                <w:color w:val="auto"/>
              </w:rPr>
              <w:t>包括：通井、洗井、试压、射孔、诱喷、</w:t>
            </w:r>
            <w:r>
              <w:rPr>
                <w:rFonts w:hint="eastAsia"/>
                <w:color w:val="auto"/>
                <w:lang w:eastAsia="zh-CN"/>
              </w:rPr>
              <w:t>试油</w:t>
            </w:r>
            <w:r>
              <w:rPr>
                <w:rFonts w:hint="default"/>
                <w:color w:val="auto"/>
              </w:rPr>
              <w:t>求产、油气水分析。</w:t>
            </w:r>
          </w:p>
          <w:p>
            <w:pPr>
              <w:pStyle w:val="10"/>
              <w:bidi w:val="0"/>
              <w:rPr>
                <w:rFonts w:hint="eastAsia"/>
                <w:color w:val="auto"/>
                <w:lang w:eastAsia="zh-CN"/>
              </w:rPr>
            </w:pPr>
            <w:r>
              <w:rPr>
                <w:rFonts w:hint="eastAsia"/>
                <w:color w:val="auto"/>
                <w:lang w:val="en-US" w:eastAsia="zh-CN"/>
              </w:rPr>
              <w:t>a）</w:t>
            </w:r>
            <w:r>
              <w:rPr>
                <w:rFonts w:hint="default"/>
                <w:color w:val="auto"/>
              </w:rPr>
              <w:t>通井：用专门的工具验证套管径向尺寸变化及完好程度的作业。通常用油管带通井规下入井内探人工井底，清除套管内壁上黏附的固体物质，检查套管是否有影响试油工具通过的弯曲和变形，检查固井后形成的人工井底是否满足试油要求</w:t>
            </w:r>
            <w:r>
              <w:rPr>
                <w:rFonts w:hint="eastAsia"/>
                <w:color w:val="auto"/>
                <w:lang w:eastAsia="zh-CN"/>
              </w:rPr>
              <w:t>，通井过程中无废水产生。</w:t>
            </w:r>
          </w:p>
          <w:p>
            <w:pPr>
              <w:pStyle w:val="10"/>
              <w:bidi w:val="0"/>
              <w:rPr>
                <w:rFonts w:hint="eastAsia"/>
                <w:color w:val="auto"/>
                <w:lang w:eastAsia="zh-CN"/>
              </w:rPr>
            </w:pPr>
            <w:r>
              <w:rPr>
                <w:rFonts w:hint="eastAsia"/>
                <w:color w:val="auto"/>
                <w:lang w:val="en-US" w:eastAsia="zh-CN"/>
              </w:rPr>
              <w:t>b）</w:t>
            </w:r>
            <w:r>
              <w:rPr>
                <w:rFonts w:hint="default"/>
                <w:color w:val="auto"/>
              </w:rPr>
              <w:t>洗井：使用泵注设备，利用洗井液（清水），通过井内管柱建立管柱内外循环、清除井内污物作业</w:t>
            </w:r>
            <w:r>
              <w:rPr>
                <w:rFonts w:hint="eastAsia"/>
                <w:color w:val="auto"/>
                <w:lang w:eastAsia="zh-CN"/>
              </w:rPr>
              <w:t>，洗井过程中主要产生洗井废水。</w:t>
            </w:r>
          </w:p>
          <w:p>
            <w:pPr>
              <w:pStyle w:val="10"/>
              <w:bidi w:val="0"/>
              <w:rPr>
                <w:rFonts w:hint="eastAsia"/>
                <w:color w:val="auto"/>
                <w:lang w:eastAsia="zh-CN"/>
              </w:rPr>
            </w:pPr>
            <w:r>
              <w:rPr>
                <w:rFonts w:hint="eastAsia"/>
                <w:color w:val="auto"/>
                <w:lang w:val="en-US" w:eastAsia="zh-CN"/>
              </w:rPr>
              <w:t>c</w:t>
            </w:r>
            <w:r>
              <w:rPr>
                <w:rFonts w:hint="default"/>
                <w:color w:val="auto"/>
                <w:lang w:eastAsia="zh-CN"/>
              </w:rPr>
              <w:t>）</w:t>
            </w:r>
            <w:r>
              <w:rPr>
                <w:rFonts w:hint="default"/>
                <w:color w:val="auto"/>
              </w:rPr>
              <w:t>试压：</w:t>
            </w:r>
            <w:r>
              <w:rPr>
                <w:rFonts w:hint="default"/>
                <w:color w:val="auto"/>
                <w:lang w:eastAsia="zh-CN"/>
              </w:rPr>
              <w:t>使用</w:t>
            </w:r>
            <w:r>
              <w:rPr>
                <w:rFonts w:hint="eastAsia"/>
                <w:color w:val="auto"/>
                <w:lang w:eastAsia="zh-CN"/>
              </w:rPr>
              <w:t>空气</w:t>
            </w:r>
            <w:r>
              <w:rPr>
                <w:rFonts w:hint="default"/>
                <w:color w:val="auto"/>
              </w:rPr>
              <w:t>介质用泵注设备按规定对井口设备、下井管柱、井筒套管、井下工具、封层和封堵井段等进行耐压程度检验的作业。</w:t>
            </w:r>
            <w:r>
              <w:rPr>
                <w:rFonts w:hint="eastAsia"/>
                <w:color w:val="auto"/>
                <w:lang w:eastAsia="zh-CN"/>
              </w:rPr>
              <w:t>该过程使用空气介质，无废水产生。</w:t>
            </w:r>
          </w:p>
          <w:p>
            <w:pPr>
              <w:pStyle w:val="10"/>
              <w:bidi w:val="0"/>
              <w:rPr>
                <w:rFonts w:hint="eastAsia"/>
                <w:color w:val="auto"/>
                <w:lang w:val="en-US" w:eastAsia="zh-CN"/>
              </w:rPr>
            </w:pPr>
            <w:r>
              <w:rPr>
                <w:rFonts w:hint="eastAsia"/>
                <w:color w:val="auto"/>
                <w:lang w:val="en-US" w:eastAsia="zh-CN"/>
              </w:rPr>
              <w:t>d</w:t>
            </w:r>
            <w:r>
              <w:rPr>
                <w:rFonts w:hint="default"/>
                <w:color w:val="auto"/>
                <w:lang w:eastAsia="zh-CN"/>
              </w:rPr>
              <w:t>）</w:t>
            </w:r>
            <w:r>
              <w:rPr>
                <w:rFonts w:hint="default"/>
                <w:color w:val="auto"/>
              </w:rPr>
              <w:t>射孔：利用专用设备，建立地层到井筒的连通孔道，促使地层流体进入井内的工艺过程，分为射孔弹射孔和水力射孔。本项目采用射孔弹射孔，用电缆下带定位仪器和射孔枪，对目的层进行射孔。</w:t>
            </w:r>
            <w:r>
              <w:rPr>
                <w:rFonts w:hint="eastAsia"/>
                <w:color w:val="auto"/>
                <w:lang w:eastAsia="zh-CN"/>
              </w:rPr>
              <w:t>射孔过程中无废水产生。</w:t>
            </w:r>
            <w:r>
              <w:rPr>
                <w:rFonts w:hint="eastAsia"/>
                <w:color w:val="auto"/>
                <w:lang w:val="en-US" w:eastAsia="zh-CN"/>
              </w:rPr>
              <w:t>试油工艺流程及产污环节见图2-3 。</w:t>
            </w:r>
          </w:p>
          <w:p>
            <w:pPr>
              <w:widowControl/>
              <w:bidi w:val="0"/>
              <w:snapToGrid w:val="0"/>
              <w:spacing w:line="500" w:lineRule="exact"/>
              <w:ind w:firstLine="480" w:firstLineChars="200"/>
              <w:jc w:val="both"/>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t>主要试油设备见2-6。</w:t>
            </w:r>
          </w:p>
          <w:p>
            <w:pPr>
              <w:pStyle w:val="63"/>
              <w:bidi w:val="0"/>
              <w:rPr>
                <w:rFonts w:hint="default"/>
                <w:lang w:val="en-US" w:eastAsia="zh-CN"/>
              </w:rPr>
            </w:pPr>
          </w:p>
          <w:p>
            <w:pPr>
              <w:pStyle w:val="63"/>
              <w:bidi w:val="0"/>
              <w:rPr>
                <w:rFonts w:hint="default"/>
                <w:lang w:val="en-US" w:eastAsia="zh-CN"/>
              </w:rPr>
            </w:pPr>
          </w:p>
          <w:p>
            <w:pPr>
              <w:pStyle w:val="56"/>
              <w:bidi w:val="0"/>
              <w:rPr>
                <w:rFonts w:hint="default"/>
                <w:color w:val="auto"/>
                <w:highlight w:val="none"/>
                <w:lang w:val="en-US" w:eastAsia="zh-CN"/>
              </w:rPr>
            </w:pPr>
            <w:r>
              <w:rPr>
                <w:rFonts w:hint="default"/>
                <w:color w:val="auto"/>
                <w:highlight w:val="none"/>
              </w:rPr>
              <w:t>表</w:t>
            </w:r>
            <w:r>
              <w:rPr>
                <w:rFonts w:hint="default"/>
                <w:color w:val="auto"/>
                <w:highlight w:val="none"/>
                <w:lang w:val="en-US" w:eastAsia="zh-CN"/>
              </w:rPr>
              <w:t>2-6  试油主要设备一览表</w:t>
            </w:r>
          </w:p>
          <w:tbl>
            <w:tblPr>
              <w:tblStyle w:val="2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3" w:type="dxa"/>
                <w:bottom w:w="0" w:type="dxa"/>
                <w:right w:w="23" w:type="dxa"/>
              </w:tblCellMar>
            </w:tblPr>
            <w:tblGrid>
              <w:gridCol w:w="622"/>
              <w:gridCol w:w="1974"/>
              <w:gridCol w:w="1898"/>
              <w:gridCol w:w="647"/>
              <w:gridCol w:w="667"/>
              <w:gridCol w:w="204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bookmarkStart w:id="50" w:name="OLE_LINK22" w:colFirst="0" w:colLast="5"/>
                  <w:r>
                    <w:rPr>
                      <w:rFonts w:hint="default" w:ascii="Times New Roman" w:hAnsi="Times New Roman" w:eastAsia="宋体" w:cs="Times New Roman"/>
                      <w:color w:val="auto"/>
                      <w:sz w:val="21"/>
                      <w:szCs w:val="21"/>
                      <w:highlight w:val="none"/>
                      <w:lang w:val="zh-CN"/>
                    </w:rPr>
                    <w:t>序号</w:t>
                  </w:r>
                </w:p>
              </w:tc>
              <w:tc>
                <w:tcPr>
                  <w:tcW w:w="125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设备名称</w:t>
                  </w:r>
                </w:p>
              </w:tc>
              <w:tc>
                <w:tcPr>
                  <w:tcW w:w="1208"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型号及规格</w:t>
                  </w:r>
                </w:p>
              </w:tc>
              <w:tc>
                <w:tcPr>
                  <w:tcW w:w="412"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单位</w:t>
                  </w:r>
                </w:p>
              </w:tc>
              <w:tc>
                <w:tcPr>
                  <w:tcW w:w="424"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数量</w:t>
                  </w:r>
                </w:p>
              </w:tc>
              <w:tc>
                <w:tcPr>
                  <w:tcW w:w="1300"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备注</w:t>
                  </w:r>
                </w:p>
              </w:tc>
            </w:tr>
            <w:bookmarkEnd w:id="50"/>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1</w:t>
                  </w:r>
                </w:p>
              </w:tc>
              <w:tc>
                <w:tcPr>
                  <w:tcW w:w="125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修井机</w:t>
                  </w:r>
                </w:p>
              </w:tc>
              <w:tc>
                <w:tcPr>
                  <w:tcW w:w="1208"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60t</w:t>
                  </w:r>
                </w:p>
              </w:tc>
              <w:tc>
                <w:tcPr>
                  <w:tcW w:w="412"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部</w:t>
                  </w:r>
                </w:p>
              </w:tc>
              <w:tc>
                <w:tcPr>
                  <w:tcW w:w="424"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1</w:t>
                  </w:r>
                </w:p>
              </w:tc>
              <w:tc>
                <w:tcPr>
                  <w:tcW w:w="1300"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2</w:t>
                  </w:r>
                </w:p>
              </w:tc>
              <w:tc>
                <w:tcPr>
                  <w:tcW w:w="125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试油井架</w:t>
                  </w:r>
                </w:p>
              </w:tc>
              <w:tc>
                <w:tcPr>
                  <w:tcW w:w="1208"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w:t>
                  </w:r>
                </w:p>
              </w:tc>
              <w:tc>
                <w:tcPr>
                  <w:tcW w:w="412"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部</w:t>
                  </w:r>
                </w:p>
              </w:tc>
              <w:tc>
                <w:tcPr>
                  <w:tcW w:w="424"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1</w:t>
                  </w:r>
                </w:p>
              </w:tc>
              <w:tc>
                <w:tcPr>
                  <w:tcW w:w="1300"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3</w:t>
                  </w:r>
                </w:p>
              </w:tc>
              <w:tc>
                <w:tcPr>
                  <w:tcW w:w="125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液压钳</w:t>
                  </w:r>
                </w:p>
              </w:tc>
              <w:tc>
                <w:tcPr>
                  <w:tcW w:w="1208"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600型或300型</w:t>
                  </w:r>
                </w:p>
              </w:tc>
              <w:tc>
                <w:tcPr>
                  <w:tcW w:w="412"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台</w:t>
                  </w:r>
                </w:p>
              </w:tc>
              <w:tc>
                <w:tcPr>
                  <w:tcW w:w="424"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1</w:t>
                  </w:r>
                </w:p>
              </w:tc>
              <w:tc>
                <w:tcPr>
                  <w:tcW w:w="1300"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足够长的配套管线</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4</w:t>
                  </w:r>
                </w:p>
              </w:tc>
              <w:tc>
                <w:tcPr>
                  <w:tcW w:w="125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方罐</w:t>
                  </w:r>
                </w:p>
              </w:tc>
              <w:tc>
                <w:tcPr>
                  <w:tcW w:w="1208"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20m</w:t>
                  </w:r>
                  <w:r>
                    <w:rPr>
                      <w:rFonts w:hint="default" w:ascii="Times New Roman" w:hAnsi="Times New Roman" w:eastAsia="宋体" w:cs="Times New Roman"/>
                      <w:color w:val="auto"/>
                      <w:sz w:val="21"/>
                      <w:szCs w:val="21"/>
                      <w:highlight w:val="none"/>
                      <w:vertAlign w:val="superscript"/>
                      <w:lang w:val="zh-CN"/>
                    </w:rPr>
                    <w:t>3</w:t>
                  </w:r>
                </w:p>
              </w:tc>
              <w:tc>
                <w:tcPr>
                  <w:tcW w:w="412"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个</w:t>
                  </w:r>
                </w:p>
              </w:tc>
              <w:tc>
                <w:tcPr>
                  <w:tcW w:w="424"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4</w:t>
                  </w:r>
                </w:p>
              </w:tc>
              <w:tc>
                <w:tcPr>
                  <w:tcW w:w="1300"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采出液</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5</w:t>
                  </w:r>
                </w:p>
              </w:tc>
              <w:tc>
                <w:tcPr>
                  <w:tcW w:w="125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吊卡</w:t>
                  </w:r>
                </w:p>
              </w:tc>
              <w:tc>
                <w:tcPr>
                  <w:tcW w:w="1208"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Φ73.0mm/Φ88.9mm</w:t>
                  </w:r>
                </w:p>
              </w:tc>
              <w:tc>
                <w:tcPr>
                  <w:tcW w:w="412"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只</w:t>
                  </w:r>
                </w:p>
              </w:tc>
              <w:tc>
                <w:tcPr>
                  <w:tcW w:w="424"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2/2</w:t>
                  </w:r>
                </w:p>
              </w:tc>
              <w:tc>
                <w:tcPr>
                  <w:tcW w:w="1300"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50t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6</w:t>
                  </w:r>
                </w:p>
              </w:tc>
              <w:tc>
                <w:tcPr>
                  <w:tcW w:w="125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吊环</w:t>
                  </w:r>
                </w:p>
              </w:tc>
              <w:tc>
                <w:tcPr>
                  <w:tcW w:w="1208"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SH-80</w:t>
                  </w:r>
                </w:p>
              </w:tc>
              <w:tc>
                <w:tcPr>
                  <w:tcW w:w="412"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付</w:t>
                  </w:r>
                </w:p>
              </w:tc>
              <w:tc>
                <w:tcPr>
                  <w:tcW w:w="424"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1</w:t>
                  </w:r>
                </w:p>
              </w:tc>
              <w:tc>
                <w:tcPr>
                  <w:tcW w:w="1300"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7</w:t>
                  </w:r>
                </w:p>
              </w:tc>
              <w:tc>
                <w:tcPr>
                  <w:tcW w:w="125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通管规</w:t>
                  </w:r>
                </w:p>
              </w:tc>
              <w:tc>
                <w:tcPr>
                  <w:tcW w:w="1208"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Φ73.0mm/58.0mm</w:t>
                  </w:r>
                </w:p>
              </w:tc>
              <w:tc>
                <w:tcPr>
                  <w:tcW w:w="412"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个</w:t>
                  </w:r>
                </w:p>
              </w:tc>
              <w:tc>
                <w:tcPr>
                  <w:tcW w:w="424"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2</w:t>
                  </w:r>
                </w:p>
              </w:tc>
              <w:tc>
                <w:tcPr>
                  <w:tcW w:w="1300"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8</w:t>
                  </w:r>
                </w:p>
              </w:tc>
              <w:tc>
                <w:tcPr>
                  <w:tcW w:w="125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提升短节</w:t>
                  </w:r>
                </w:p>
              </w:tc>
              <w:tc>
                <w:tcPr>
                  <w:tcW w:w="1208"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Φ88.9mm</w:t>
                  </w:r>
                </w:p>
              </w:tc>
              <w:tc>
                <w:tcPr>
                  <w:tcW w:w="412"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套</w:t>
                  </w:r>
                </w:p>
              </w:tc>
              <w:tc>
                <w:tcPr>
                  <w:tcW w:w="424"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1</w:t>
                  </w:r>
                </w:p>
              </w:tc>
              <w:tc>
                <w:tcPr>
                  <w:tcW w:w="1300"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9</w:t>
                  </w:r>
                </w:p>
              </w:tc>
              <w:tc>
                <w:tcPr>
                  <w:tcW w:w="125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调整短节</w:t>
                  </w:r>
                </w:p>
              </w:tc>
              <w:tc>
                <w:tcPr>
                  <w:tcW w:w="1208"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Φ73.0mm</w:t>
                  </w:r>
                </w:p>
              </w:tc>
              <w:tc>
                <w:tcPr>
                  <w:tcW w:w="412"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m</w:t>
                  </w:r>
                </w:p>
              </w:tc>
              <w:tc>
                <w:tcPr>
                  <w:tcW w:w="424"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1</w:t>
                  </w:r>
                </w:p>
              </w:tc>
              <w:tc>
                <w:tcPr>
                  <w:tcW w:w="1300"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10</w:t>
                  </w:r>
                </w:p>
              </w:tc>
              <w:tc>
                <w:tcPr>
                  <w:tcW w:w="125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值班房</w:t>
                  </w:r>
                </w:p>
              </w:tc>
              <w:tc>
                <w:tcPr>
                  <w:tcW w:w="1208"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w:t>
                  </w:r>
                </w:p>
              </w:tc>
              <w:tc>
                <w:tcPr>
                  <w:tcW w:w="412"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套</w:t>
                  </w:r>
                </w:p>
              </w:tc>
              <w:tc>
                <w:tcPr>
                  <w:tcW w:w="424"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1</w:t>
                  </w:r>
                </w:p>
              </w:tc>
              <w:tc>
                <w:tcPr>
                  <w:tcW w:w="1300"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11</w:t>
                  </w:r>
                </w:p>
              </w:tc>
              <w:tc>
                <w:tcPr>
                  <w:tcW w:w="125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发电房</w:t>
                  </w:r>
                </w:p>
              </w:tc>
              <w:tc>
                <w:tcPr>
                  <w:tcW w:w="1208"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w:t>
                  </w:r>
                </w:p>
              </w:tc>
              <w:tc>
                <w:tcPr>
                  <w:tcW w:w="412"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套</w:t>
                  </w:r>
                </w:p>
              </w:tc>
              <w:tc>
                <w:tcPr>
                  <w:tcW w:w="424"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1</w:t>
                  </w:r>
                </w:p>
              </w:tc>
              <w:tc>
                <w:tcPr>
                  <w:tcW w:w="1300"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储罐1个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12</w:t>
                  </w:r>
                </w:p>
              </w:tc>
              <w:tc>
                <w:tcPr>
                  <w:tcW w:w="125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柴油发电机</w:t>
                  </w:r>
                </w:p>
              </w:tc>
              <w:tc>
                <w:tcPr>
                  <w:tcW w:w="1208"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2"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台</w:t>
                  </w:r>
                </w:p>
              </w:tc>
              <w:tc>
                <w:tcPr>
                  <w:tcW w:w="424"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1</w:t>
                  </w:r>
                </w:p>
              </w:tc>
              <w:tc>
                <w:tcPr>
                  <w:tcW w:w="1300"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13</w:t>
                  </w:r>
                </w:p>
              </w:tc>
              <w:tc>
                <w:tcPr>
                  <w:tcW w:w="125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气液分离装置</w:t>
                  </w:r>
                </w:p>
              </w:tc>
              <w:tc>
                <w:tcPr>
                  <w:tcW w:w="1208"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2"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套</w:t>
                  </w:r>
                </w:p>
              </w:tc>
              <w:tc>
                <w:tcPr>
                  <w:tcW w:w="424"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1</w:t>
                  </w:r>
                </w:p>
              </w:tc>
              <w:tc>
                <w:tcPr>
                  <w:tcW w:w="1300"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14</w:t>
                  </w:r>
                </w:p>
              </w:tc>
              <w:tc>
                <w:tcPr>
                  <w:tcW w:w="125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泵车</w:t>
                  </w:r>
                </w:p>
              </w:tc>
              <w:tc>
                <w:tcPr>
                  <w:tcW w:w="1208"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700型</w:t>
                  </w:r>
                </w:p>
              </w:tc>
              <w:tc>
                <w:tcPr>
                  <w:tcW w:w="412"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台</w:t>
                  </w:r>
                </w:p>
              </w:tc>
              <w:tc>
                <w:tcPr>
                  <w:tcW w:w="424"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1</w:t>
                  </w:r>
                </w:p>
              </w:tc>
              <w:tc>
                <w:tcPr>
                  <w:tcW w:w="1300"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15</w:t>
                  </w:r>
                </w:p>
              </w:tc>
              <w:tc>
                <w:tcPr>
                  <w:tcW w:w="125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防喷器</w:t>
                  </w:r>
                </w:p>
              </w:tc>
              <w:tc>
                <w:tcPr>
                  <w:tcW w:w="1208"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2"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台</w:t>
                  </w:r>
                </w:p>
              </w:tc>
              <w:tc>
                <w:tcPr>
                  <w:tcW w:w="424"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1</w:t>
                  </w:r>
                </w:p>
              </w:tc>
              <w:tc>
                <w:tcPr>
                  <w:tcW w:w="1300"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6" w:type="pct"/>
                  <w:vAlign w:val="center"/>
                </w:tcPr>
                <w:p>
                  <w:pPr>
                    <w:keepNext w:val="0"/>
                    <w:keepLines w:val="0"/>
                    <w:pageBreakBefore w:val="0"/>
                    <w:widowControl w:val="0"/>
                    <w:kinsoku/>
                    <w:wordWrap/>
                    <w:overflowPunct/>
                    <w:topLinePunct w:val="0"/>
                    <w:autoSpaceDE/>
                    <w:autoSpaceDN/>
                    <w:bidi w:val="0"/>
                    <w:adjustRightInd/>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16</w:t>
                  </w:r>
                </w:p>
              </w:tc>
              <w:tc>
                <w:tcPr>
                  <w:tcW w:w="1256" w:type="pct"/>
                  <w:vAlign w:val="center"/>
                </w:tcPr>
                <w:p>
                  <w:pPr>
                    <w:keepNext w:val="0"/>
                    <w:keepLines w:val="0"/>
                    <w:pageBreakBefore w:val="0"/>
                    <w:widowControl w:val="0"/>
                    <w:kinsoku/>
                    <w:wordWrap/>
                    <w:overflowPunct/>
                    <w:topLinePunct w:val="0"/>
                    <w:autoSpaceDE/>
                    <w:autoSpaceDN/>
                    <w:bidi w:val="0"/>
                    <w:adjustRightInd/>
                    <w:spacing w:line="31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放喷管及罐</w:t>
                  </w:r>
                </w:p>
              </w:tc>
              <w:tc>
                <w:tcPr>
                  <w:tcW w:w="1208" w:type="pct"/>
                  <w:vAlign w:val="center"/>
                </w:tcPr>
                <w:p>
                  <w:pPr>
                    <w:keepNext w:val="0"/>
                    <w:keepLines w:val="0"/>
                    <w:pageBreakBefore w:val="0"/>
                    <w:widowControl w:val="0"/>
                    <w:kinsoku/>
                    <w:wordWrap/>
                    <w:overflowPunct/>
                    <w:topLinePunct w:val="0"/>
                    <w:autoSpaceDE/>
                    <w:autoSpaceDN/>
                    <w:bidi w:val="0"/>
                    <w:adjustRightInd/>
                    <w:spacing w:line="31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2" w:type="pct"/>
                  <w:vAlign w:val="center"/>
                </w:tcPr>
                <w:p>
                  <w:pPr>
                    <w:keepNext w:val="0"/>
                    <w:keepLines w:val="0"/>
                    <w:pageBreakBefore w:val="0"/>
                    <w:widowControl w:val="0"/>
                    <w:kinsoku/>
                    <w:wordWrap/>
                    <w:overflowPunct/>
                    <w:topLinePunct w:val="0"/>
                    <w:autoSpaceDE/>
                    <w:autoSpaceDN/>
                    <w:bidi w:val="0"/>
                    <w:adjustRightInd/>
                    <w:spacing w:line="31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套</w:t>
                  </w:r>
                </w:p>
              </w:tc>
              <w:tc>
                <w:tcPr>
                  <w:tcW w:w="424" w:type="pct"/>
                  <w:vAlign w:val="center"/>
                </w:tcPr>
                <w:p>
                  <w:pPr>
                    <w:keepNext w:val="0"/>
                    <w:keepLines w:val="0"/>
                    <w:pageBreakBefore w:val="0"/>
                    <w:widowControl w:val="0"/>
                    <w:kinsoku/>
                    <w:wordWrap/>
                    <w:overflowPunct/>
                    <w:topLinePunct w:val="0"/>
                    <w:autoSpaceDE/>
                    <w:autoSpaceDN/>
                    <w:bidi w:val="0"/>
                    <w:adjustRightInd/>
                    <w:spacing w:line="310" w:lineRule="exact"/>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1</w:t>
                  </w:r>
                </w:p>
              </w:tc>
              <w:tc>
                <w:tcPr>
                  <w:tcW w:w="1300" w:type="pct"/>
                  <w:vAlign w:val="center"/>
                </w:tcPr>
                <w:p>
                  <w:pPr>
                    <w:keepNext w:val="0"/>
                    <w:keepLines w:val="0"/>
                    <w:pageBreakBefore w:val="0"/>
                    <w:widowControl w:val="0"/>
                    <w:kinsoku/>
                    <w:wordWrap/>
                    <w:overflowPunct/>
                    <w:topLinePunct w:val="0"/>
                    <w:autoSpaceDE/>
                    <w:autoSpaceDN/>
                    <w:bidi w:val="0"/>
                    <w:adjustRightInd/>
                    <w:spacing w:line="31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放喷罐1个，30m</w:t>
                  </w:r>
                  <w:r>
                    <w:rPr>
                      <w:rFonts w:hint="default" w:ascii="Times New Roman" w:hAnsi="Times New Roman" w:eastAsia="宋体" w:cs="Times New Roman"/>
                      <w:color w:val="auto"/>
                      <w:sz w:val="21"/>
                      <w:szCs w:val="21"/>
                      <w:highlight w:val="none"/>
                      <w:vertAlign w:val="superscript"/>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6" w:type="pct"/>
                  <w:vAlign w:val="center"/>
                </w:tcPr>
                <w:p>
                  <w:pPr>
                    <w:keepNext w:val="0"/>
                    <w:keepLines w:val="0"/>
                    <w:pageBreakBefore w:val="0"/>
                    <w:widowControl w:val="0"/>
                    <w:kinsoku/>
                    <w:wordWrap/>
                    <w:overflowPunct/>
                    <w:topLinePunct w:val="0"/>
                    <w:autoSpaceDE/>
                    <w:autoSpaceDN/>
                    <w:bidi w:val="0"/>
                    <w:adjustRightInd/>
                    <w:spacing w:line="310" w:lineRule="exact"/>
                    <w:jc w:val="center"/>
                    <w:textAlignment w:val="auto"/>
                    <w:rPr>
                      <w:rFonts w:hint="default" w:ascii="Times New Roman" w:hAnsi="Times New Roman" w:cs="Times New Roman"/>
                      <w:color w:val="auto"/>
                      <w:sz w:val="21"/>
                      <w:szCs w:val="21"/>
                      <w:highlight w:val="none"/>
                      <w:lang w:val="zh-CN"/>
                    </w:rPr>
                  </w:pPr>
                  <w:r>
                    <w:rPr>
                      <w:rFonts w:hint="default" w:ascii="Times New Roman" w:hAnsi="Times New Roman" w:cs="Times New Roman"/>
                      <w:color w:val="auto"/>
                      <w:sz w:val="21"/>
                      <w:szCs w:val="21"/>
                      <w:highlight w:val="none"/>
                      <w:lang w:val="zh-CN"/>
                    </w:rPr>
                    <w:t>17</w:t>
                  </w:r>
                </w:p>
              </w:tc>
              <w:tc>
                <w:tcPr>
                  <w:tcW w:w="1256" w:type="pct"/>
                  <w:vAlign w:val="center"/>
                </w:tcPr>
                <w:p>
                  <w:pPr>
                    <w:keepNext w:val="0"/>
                    <w:keepLines w:val="0"/>
                    <w:pageBreakBefore w:val="0"/>
                    <w:widowControl w:val="0"/>
                    <w:kinsoku/>
                    <w:wordWrap/>
                    <w:overflowPunct/>
                    <w:topLinePunct w:val="0"/>
                    <w:autoSpaceDE/>
                    <w:autoSpaceDN/>
                    <w:bidi w:val="0"/>
                    <w:adjustRightInd/>
                    <w:spacing w:line="310" w:lineRule="exact"/>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采油树</w:t>
                  </w:r>
                </w:p>
              </w:tc>
              <w:tc>
                <w:tcPr>
                  <w:tcW w:w="1208" w:type="pct"/>
                  <w:vAlign w:val="center"/>
                </w:tcPr>
                <w:p>
                  <w:pPr>
                    <w:keepNext w:val="0"/>
                    <w:keepLines w:val="0"/>
                    <w:pageBreakBefore w:val="0"/>
                    <w:widowControl w:val="0"/>
                    <w:kinsoku/>
                    <w:wordWrap/>
                    <w:overflowPunct/>
                    <w:topLinePunct w:val="0"/>
                    <w:autoSpaceDE/>
                    <w:autoSpaceDN/>
                    <w:bidi w:val="0"/>
                    <w:adjustRightInd/>
                    <w:spacing w:line="310" w:lineRule="exact"/>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412" w:type="pct"/>
                  <w:vAlign w:val="center"/>
                </w:tcPr>
                <w:p>
                  <w:pPr>
                    <w:keepNext w:val="0"/>
                    <w:keepLines w:val="0"/>
                    <w:pageBreakBefore w:val="0"/>
                    <w:widowControl w:val="0"/>
                    <w:kinsoku/>
                    <w:wordWrap/>
                    <w:overflowPunct/>
                    <w:topLinePunct w:val="0"/>
                    <w:autoSpaceDE/>
                    <w:autoSpaceDN/>
                    <w:bidi w:val="0"/>
                    <w:adjustRightInd/>
                    <w:spacing w:line="310" w:lineRule="exact"/>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套</w:t>
                  </w:r>
                </w:p>
              </w:tc>
              <w:tc>
                <w:tcPr>
                  <w:tcW w:w="424" w:type="pct"/>
                  <w:vAlign w:val="center"/>
                </w:tcPr>
                <w:p>
                  <w:pPr>
                    <w:keepNext w:val="0"/>
                    <w:keepLines w:val="0"/>
                    <w:pageBreakBefore w:val="0"/>
                    <w:widowControl w:val="0"/>
                    <w:kinsoku/>
                    <w:wordWrap/>
                    <w:overflowPunct/>
                    <w:topLinePunct w:val="0"/>
                    <w:autoSpaceDE/>
                    <w:autoSpaceDN/>
                    <w:bidi w:val="0"/>
                    <w:adjustRightInd/>
                    <w:spacing w:line="310" w:lineRule="exact"/>
                    <w:jc w:val="center"/>
                    <w:textAlignment w:val="auto"/>
                    <w:rPr>
                      <w:rFonts w:hint="default" w:ascii="Times New Roman" w:hAnsi="Times New Roman" w:cs="Times New Roman"/>
                      <w:color w:val="auto"/>
                      <w:sz w:val="21"/>
                      <w:szCs w:val="21"/>
                      <w:highlight w:val="none"/>
                      <w:lang w:val="zh-CN"/>
                    </w:rPr>
                  </w:pPr>
                  <w:r>
                    <w:rPr>
                      <w:rFonts w:hint="default" w:ascii="Times New Roman" w:hAnsi="Times New Roman" w:cs="Times New Roman"/>
                      <w:color w:val="auto"/>
                      <w:sz w:val="21"/>
                      <w:szCs w:val="21"/>
                      <w:highlight w:val="none"/>
                      <w:lang w:val="zh-CN"/>
                    </w:rPr>
                    <w:t>1</w:t>
                  </w:r>
                </w:p>
              </w:tc>
              <w:tc>
                <w:tcPr>
                  <w:tcW w:w="1300" w:type="pct"/>
                  <w:vAlign w:val="center"/>
                </w:tcPr>
                <w:p>
                  <w:pPr>
                    <w:keepNext w:val="0"/>
                    <w:keepLines w:val="0"/>
                    <w:pageBreakBefore w:val="0"/>
                    <w:widowControl w:val="0"/>
                    <w:kinsoku/>
                    <w:wordWrap/>
                    <w:overflowPunct/>
                    <w:topLinePunct w:val="0"/>
                    <w:autoSpaceDE/>
                    <w:autoSpaceDN/>
                    <w:bidi w:val="0"/>
                    <w:adjustRightInd/>
                    <w:spacing w:line="310" w:lineRule="exact"/>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auto"/>
                      <w:sz w:val="21"/>
                      <w:szCs w:val="21"/>
                      <w:highlight w:val="none"/>
                      <w:lang w:val="zh-CN"/>
                    </w:rPr>
                  </w:pPr>
                  <w:r>
                    <w:rPr>
                      <w:rFonts w:hint="default" w:ascii="Times New Roman" w:hAnsi="Times New Roman" w:cs="Times New Roman"/>
                      <w:color w:val="auto"/>
                      <w:sz w:val="21"/>
                      <w:szCs w:val="21"/>
                      <w:highlight w:val="none"/>
                      <w:lang w:val="zh-CN"/>
                    </w:rPr>
                    <w:t>18</w:t>
                  </w:r>
                </w:p>
              </w:tc>
              <w:tc>
                <w:tcPr>
                  <w:tcW w:w="125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H</w:t>
                  </w:r>
                  <w:r>
                    <w:rPr>
                      <w:rFonts w:hint="default" w:ascii="Times New Roman" w:hAnsi="Times New Roman" w:cs="Times New Roman"/>
                      <w:color w:val="auto"/>
                      <w:sz w:val="21"/>
                      <w:szCs w:val="21"/>
                      <w:highlight w:val="none"/>
                      <w:vertAlign w:val="subscript"/>
                    </w:rPr>
                    <w:t>2</w:t>
                  </w:r>
                  <w:r>
                    <w:rPr>
                      <w:rFonts w:hint="default" w:ascii="Times New Roman" w:hAnsi="Times New Roman" w:cs="Times New Roman"/>
                      <w:color w:val="auto"/>
                      <w:sz w:val="21"/>
                      <w:szCs w:val="21"/>
                      <w:highlight w:val="none"/>
                    </w:rPr>
                    <w:t>S气体监测仪</w:t>
                  </w:r>
                </w:p>
              </w:tc>
              <w:tc>
                <w:tcPr>
                  <w:tcW w:w="1208"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412"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部</w:t>
                  </w:r>
                </w:p>
              </w:tc>
              <w:tc>
                <w:tcPr>
                  <w:tcW w:w="424"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auto"/>
                      <w:sz w:val="21"/>
                      <w:szCs w:val="21"/>
                      <w:highlight w:val="none"/>
                      <w:lang w:val="zh-CN"/>
                    </w:rPr>
                  </w:pPr>
                  <w:r>
                    <w:rPr>
                      <w:rFonts w:hint="default" w:ascii="Times New Roman" w:hAnsi="Times New Roman" w:cs="Times New Roman"/>
                      <w:color w:val="auto"/>
                      <w:sz w:val="21"/>
                      <w:szCs w:val="21"/>
                      <w:highlight w:val="none"/>
                      <w:lang w:val="zh-CN"/>
                    </w:rPr>
                    <w:t>1</w:t>
                  </w:r>
                </w:p>
              </w:tc>
              <w:tc>
                <w:tcPr>
                  <w:tcW w:w="1300"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auto"/>
                      <w:sz w:val="21"/>
                      <w:szCs w:val="21"/>
                      <w:highlight w:val="none"/>
                      <w:lang w:val="zh-CN"/>
                    </w:rPr>
                  </w:pPr>
                  <w:r>
                    <w:rPr>
                      <w:rFonts w:hint="default" w:ascii="Times New Roman" w:hAnsi="Times New Roman" w:cs="Times New Roman"/>
                      <w:color w:val="auto"/>
                      <w:sz w:val="21"/>
                      <w:szCs w:val="21"/>
                      <w:highlight w:val="none"/>
                      <w:lang w:val="zh-CN"/>
                    </w:rPr>
                    <w:t>19</w:t>
                  </w:r>
                </w:p>
              </w:tc>
              <w:tc>
                <w:tcPr>
                  <w:tcW w:w="125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可燃气体检测仪</w:t>
                  </w:r>
                </w:p>
              </w:tc>
              <w:tc>
                <w:tcPr>
                  <w:tcW w:w="1208"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412"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部</w:t>
                  </w:r>
                </w:p>
              </w:tc>
              <w:tc>
                <w:tcPr>
                  <w:tcW w:w="424"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auto"/>
                      <w:sz w:val="21"/>
                      <w:szCs w:val="21"/>
                      <w:highlight w:val="none"/>
                      <w:lang w:val="zh-CN"/>
                    </w:rPr>
                  </w:pPr>
                  <w:r>
                    <w:rPr>
                      <w:rFonts w:hint="default" w:ascii="Times New Roman" w:hAnsi="Times New Roman" w:cs="Times New Roman"/>
                      <w:color w:val="auto"/>
                      <w:sz w:val="21"/>
                      <w:szCs w:val="21"/>
                      <w:highlight w:val="none"/>
                      <w:lang w:val="zh-CN"/>
                    </w:rPr>
                    <w:t>1</w:t>
                  </w:r>
                </w:p>
              </w:tc>
              <w:tc>
                <w:tcPr>
                  <w:tcW w:w="1300"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auto"/>
                      <w:sz w:val="21"/>
                      <w:szCs w:val="21"/>
                      <w:highlight w:val="none"/>
                      <w:lang w:val="zh-CN"/>
                    </w:rPr>
                  </w:pPr>
                  <w:r>
                    <w:rPr>
                      <w:rFonts w:hint="default" w:ascii="Times New Roman" w:hAnsi="Times New Roman" w:cs="Times New Roman"/>
                      <w:color w:val="auto"/>
                      <w:sz w:val="21"/>
                      <w:szCs w:val="21"/>
                      <w:highlight w:val="none"/>
                      <w:lang w:val="zh-CN"/>
                    </w:rPr>
                    <w:t>20</w:t>
                  </w:r>
                </w:p>
              </w:tc>
              <w:tc>
                <w:tcPr>
                  <w:tcW w:w="125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消防砂</w:t>
                  </w:r>
                </w:p>
              </w:tc>
              <w:tc>
                <w:tcPr>
                  <w:tcW w:w="1208"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412"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m</w:t>
                  </w:r>
                  <w:r>
                    <w:rPr>
                      <w:rFonts w:hint="default" w:ascii="Times New Roman" w:hAnsi="Times New Roman" w:cs="Times New Roman"/>
                      <w:color w:val="auto"/>
                      <w:sz w:val="21"/>
                      <w:szCs w:val="21"/>
                      <w:highlight w:val="none"/>
                      <w:vertAlign w:val="superscript"/>
                    </w:rPr>
                    <w:t>3</w:t>
                  </w:r>
                </w:p>
              </w:tc>
              <w:tc>
                <w:tcPr>
                  <w:tcW w:w="424"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auto"/>
                      <w:sz w:val="21"/>
                      <w:szCs w:val="21"/>
                      <w:highlight w:val="none"/>
                      <w:lang w:val="zh-CN"/>
                    </w:rPr>
                  </w:pPr>
                  <w:r>
                    <w:rPr>
                      <w:rFonts w:hint="default" w:ascii="Times New Roman" w:hAnsi="Times New Roman" w:cs="Times New Roman"/>
                      <w:color w:val="auto"/>
                      <w:sz w:val="21"/>
                      <w:szCs w:val="21"/>
                      <w:highlight w:val="none"/>
                      <w:lang w:val="zh-CN"/>
                    </w:rPr>
                    <w:t>0.5</w:t>
                  </w:r>
                </w:p>
              </w:tc>
              <w:tc>
                <w:tcPr>
                  <w:tcW w:w="1300"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auto"/>
                      <w:sz w:val="21"/>
                      <w:szCs w:val="21"/>
                      <w:highlight w:val="none"/>
                      <w:lang w:val="zh-CN"/>
                    </w:rPr>
                  </w:pPr>
                  <w:r>
                    <w:rPr>
                      <w:rFonts w:hint="default" w:ascii="Times New Roman" w:hAnsi="Times New Roman" w:cs="Times New Roman"/>
                      <w:color w:val="auto"/>
                      <w:sz w:val="21"/>
                      <w:szCs w:val="21"/>
                      <w:highlight w:val="none"/>
                      <w:lang w:val="zh-CN"/>
                    </w:rPr>
                    <w:t>21</w:t>
                  </w:r>
                </w:p>
              </w:tc>
              <w:tc>
                <w:tcPr>
                  <w:tcW w:w="125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推车式干粉灭火器</w:t>
                  </w:r>
                </w:p>
              </w:tc>
              <w:tc>
                <w:tcPr>
                  <w:tcW w:w="1208"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MFZL35型</w:t>
                  </w:r>
                </w:p>
              </w:tc>
              <w:tc>
                <w:tcPr>
                  <w:tcW w:w="412"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具</w:t>
                  </w:r>
                </w:p>
              </w:tc>
              <w:tc>
                <w:tcPr>
                  <w:tcW w:w="424"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1300"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auto"/>
                      <w:sz w:val="21"/>
                      <w:szCs w:val="21"/>
                      <w:highlight w:val="none"/>
                      <w:lang w:val="zh-CN"/>
                    </w:rPr>
                  </w:pPr>
                  <w:r>
                    <w:rPr>
                      <w:rFonts w:hint="default" w:ascii="Times New Roman" w:hAnsi="Times New Roman" w:cs="Times New Roman"/>
                      <w:color w:val="auto"/>
                      <w:sz w:val="21"/>
                      <w:szCs w:val="21"/>
                      <w:highlight w:val="none"/>
                      <w:lang w:val="zh-CN"/>
                    </w:rPr>
                    <w:t>22</w:t>
                  </w:r>
                </w:p>
              </w:tc>
              <w:tc>
                <w:tcPr>
                  <w:tcW w:w="125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干粉灭火器</w:t>
                  </w:r>
                </w:p>
              </w:tc>
              <w:tc>
                <w:tcPr>
                  <w:tcW w:w="1208"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MFZL8型</w:t>
                  </w:r>
                </w:p>
              </w:tc>
              <w:tc>
                <w:tcPr>
                  <w:tcW w:w="412"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具</w:t>
                  </w:r>
                </w:p>
              </w:tc>
              <w:tc>
                <w:tcPr>
                  <w:tcW w:w="424"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w:t>
                  </w:r>
                </w:p>
              </w:tc>
              <w:tc>
                <w:tcPr>
                  <w:tcW w:w="1300"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23</w:t>
                  </w:r>
                </w:p>
              </w:tc>
              <w:tc>
                <w:tcPr>
                  <w:tcW w:w="125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zh-CN"/>
                    </w:rPr>
                    <w:t>方罐</w:t>
                  </w:r>
                </w:p>
              </w:tc>
              <w:tc>
                <w:tcPr>
                  <w:tcW w:w="1208"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lang w:val="zh-CN"/>
                    </w:rPr>
                    <w:t>0m</w:t>
                  </w:r>
                  <w:r>
                    <w:rPr>
                      <w:rFonts w:hint="default" w:ascii="Times New Roman" w:hAnsi="Times New Roman" w:eastAsia="宋体" w:cs="Times New Roman"/>
                      <w:color w:val="auto"/>
                      <w:sz w:val="21"/>
                      <w:szCs w:val="21"/>
                      <w:highlight w:val="none"/>
                      <w:vertAlign w:val="superscript"/>
                      <w:lang w:val="zh-CN"/>
                    </w:rPr>
                    <w:t>3</w:t>
                  </w:r>
                </w:p>
              </w:tc>
              <w:tc>
                <w:tcPr>
                  <w:tcW w:w="412"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lang w:val="zh-CN"/>
                    </w:rPr>
                    <w:t>个</w:t>
                  </w:r>
                </w:p>
              </w:tc>
              <w:tc>
                <w:tcPr>
                  <w:tcW w:w="424"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2</w:t>
                  </w:r>
                </w:p>
              </w:tc>
              <w:tc>
                <w:tcPr>
                  <w:tcW w:w="1300"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试油废水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24</w:t>
                  </w:r>
                </w:p>
              </w:tc>
              <w:tc>
                <w:tcPr>
                  <w:tcW w:w="1256"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自动点火装置</w:t>
                  </w:r>
                </w:p>
              </w:tc>
              <w:tc>
                <w:tcPr>
                  <w:tcW w:w="1208"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eastAsia" w:cs="Times New Roman"/>
                      <w:color w:val="auto"/>
                      <w:sz w:val="21"/>
                      <w:szCs w:val="21"/>
                      <w:highlight w:val="none"/>
                      <w:lang w:val="en-US" w:eastAsia="zh-CN"/>
                    </w:rPr>
                  </w:pPr>
                </w:p>
              </w:tc>
              <w:tc>
                <w:tcPr>
                  <w:tcW w:w="412"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套</w:t>
                  </w:r>
                </w:p>
              </w:tc>
              <w:tc>
                <w:tcPr>
                  <w:tcW w:w="424"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w:t>
                  </w:r>
                </w:p>
              </w:tc>
              <w:tc>
                <w:tcPr>
                  <w:tcW w:w="1300" w:type="pct"/>
                  <w:vAlign w:val="center"/>
                </w:tcPr>
                <w:p>
                  <w:pPr>
                    <w:keepNext w:val="0"/>
                    <w:keepLines w:val="0"/>
                    <w:pageBreakBefore w:val="0"/>
                    <w:widowControl w:val="0"/>
                    <w:kinsoku/>
                    <w:wordWrap/>
                    <w:overflowPunct/>
                    <w:topLinePunct w:val="0"/>
                    <w:autoSpaceDE/>
                    <w:autoSpaceDN/>
                    <w:bidi w:val="0"/>
                    <w:adjustRightInd/>
                    <w:snapToGrid w:val="0"/>
                    <w:spacing w:line="310" w:lineRule="exact"/>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伴生气点燃</w:t>
                  </w:r>
                </w:p>
              </w:tc>
            </w:tr>
          </w:tbl>
          <w:p>
            <w:pPr>
              <w:pStyle w:val="56"/>
              <w:bidi w:val="0"/>
              <w:spacing w:line="240" w:lineRule="auto"/>
              <w:rPr>
                <w:rFonts w:hint="default" w:ascii="Times New Roman" w:hAnsi="Times New Roman" w:cs="Times New Roman"/>
                <w:color w:val="auto"/>
              </w:rPr>
            </w:pPr>
            <w:r>
              <w:rPr>
                <w:rFonts w:hint="default" w:ascii="Times New Roman" w:hAnsi="Times New Roman" w:cs="Times New Roman"/>
                <w:color w:val="auto"/>
              </w:rPr>
              <w:drawing>
                <wp:inline distT="0" distB="0" distL="114300" distR="114300">
                  <wp:extent cx="3270250" cy="2409825"/>
                  <wp:effectExtent l="0" t="0" r="6350" b="9525"/>
                  <wp:docPr id="18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3"/>
                          <pic:cNvPicPr>
                            <a:picLocks noChangeAspect="1"/>
                          </pic:cNvPicPr>
                        </pic:nvPicPr>
                        <pic:blipFill>
                          <a:blip r:embed="rId9"/>
                          <a:stretch>
                            <a:fillRect/>
                          </a:stretch>
                        </pic:blipFill>
                        <pic:spPr>
                          <a:xfrm>
                            <a:off x="0" y="0"/>
                            <a:ext cx="3270250" cy="2409825"/>
                          </a:xfrm>
                          <a:prstGeom prst="rect">
                            <a:avLst/>
                          </a:prstGeom>
                          <a:noFill/>
                          <a:ln>
                            <a:noFill/>
                          </a:ln>
                        </pic:spPr>
                      </pic:pic>
                    </a:graphicData>
                  </a:graphic>
                </wp:inline>
              </w:drawing>
            </w:r>
          </w:p>
          <w:p>
            <w:pPr>
              <w:pStyle w:val="56"/>
              <w:bidi w:val="0"/>
              <w:rPr>
                <w:rFonts w:hint="default"/>
              </w:rPr>
            </w:pPr>
            <w:r>
              <w:rPr>
                <w:rFonts w:hint="eastAsia"/>
                <w:lang w:val="en-US" w:eastAsia="zh-CN"/>
              </w:rPr>
              <w:t xml:space="preserve">图2-3  </w:t>
            </w:r>
            <w:r>
              <w:rPr>
                <w:rFonts w:hint="eastAsia"/>
              </w:rPr>
              <w:t>试油工艺流程及产污环节图</w:t>
            </w:r>
          </w:p>
          <w:p>
            <w:pPr>
              <w:snapToGrid w:val="0"/>
              <w:spacing w:line="500" w:lineRule="exac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（4）完井</w:t>
            </w:r>
          </w:p>
          <w:p>
            <w:pPr>
              <w:pStyle w:val="10"/>
              <w:bidi w:val="0"/>
              <w:rPr>
                <w:rFonts w:hint="default"/>
              </w:rPr>
            </w:pPr>
            <w:r>
              <w:rPr>
                <w:rFonts w:hint="default"/>
              </w:rPr>
              <w:t>试油作业结束后，若油气产量显示该井具备商业开采价值，则对其进行关井，后期根据油田开发要求转为开采井，转产前应开展产能建设工程环境影响评价。如该井不具备开采价值，则对地面设施进行拆除，对井口按照《废弃井封井回填技术指南（试行）》《废弃井及长停井处置指南》（SY/T6646-2017）、《陆上石油天然气生产环境保护推荐作法》（SY/T6628-2005）进行封井作业，撤去所有生产设施，清理、平整井场。</w:t>
            </w:r>
          </w:p>
          <w:p>
            <w:pPr>
              <w:pStyle w:val="54"/>
              <w:numPr>
                <w:ilvl w:val="0"/>
                <w:numId w:val="9"/>
              </w:numPr>
              <w:bidi w:val="0"/>
              <w:ind w:left="9" w:leftChars="0" w:firstLineChars="0"/>
              <w:rPr>
                <w:rFonts w:hint="default"/>
                <w:color w:val="auto"/>
                <w:highlight w:val="none"/>
              </w:rPr>
            </w:pPr>
            <w:r>
              <w:rPr>
                <w:rFonts w:hint="default"/>
                <w:color w:val="auto"/>
                <w:highlight w:val="none"/>
              </w:rPr>
              <w:t>施工周期及组织定员</w:t>
            </w:r>
          </w:p>
          <w:p>
            <w:pPr>
              <w:snapToGrid w:val="0"/>
              <w:spacing w:line="500" w:lineRule="exact"/>
              <w:ind w:firstLine="448" w:firstLineChars="200"/>
              <w:rPr>
                <w:rFonts w:hint="default" w:ascii="Times New Roman" w:hAnsi="Times New Roman" w:cs="Times New Roman"/>
                <w:color w:val="auto"/>
                <w:highlight w:val="none"/>
              </w:rPr>
            </w:pPr>
            <w:r>
              <w:rPr>
                <w:rFonts w:hint="eastAsia" w:cs="Times New Roman"/>
                <w:color w:val="auto"/>
                <w:spacing w:val="-8"/>
                <w:highlight w:val="none"/>
                <w:lang w:val="en-US" w:eastAsia="zh-CN"/>
              </w:rPr>
              <w:t>莫24H井</w:t>
            </w:r>
            <w:r>
              <w:rPr>
                <w:rFonts w:hint="default" w:ascii="Times New Roman" w:hAnsi="Times New Roman" w:cs="Times New Roman"/>
                <w:color w:val="auto"/>
                <w:spacing w:val="-8"/>
                <w:highlight w:val="none"/>
              </w:rPr>
              <w:t>钻井期</w:t>
            </w:r>
            <w:r>
              <w:rPr>
                <w:rFonts w:hint="eastAsia" w:ascii="Times New Roman" w:hAnsi="Times New Roman" w:cs="Times New Roman"/>
                <w:color w:val="auto"/>
                <w:spacing w:val="-8"/>
                <w:highlight w:val="none"/>
                <w:lang w:val="en-US" w:eastAsia="zh-CN"/>
              </w:rPr>
              <w:t>52</w:t>
            </w:r>
            <w:r>
              <w:rPr>
                <w:rFonts w:hint="default" w:ascii="Times New Roman" w:hAnsi="Times New Roman" w:cs="Times New Roman"/>
                <w:color w:val="auto"/>
                <w:spacing w:val="-8"/>
                <w:highlight w:val="none"/>
              </w:rPr>
              <w:t>天，</w:t>
            </w:r>
            <w:r>
              <w:rPr>
                <w:rFonts w:hint="default" w:ascii="Times New Roman" w:hAnsi="Times New Roman" w:cs="Times New Roman"/>
                <w:color w:val="auto"/>
                <w:highlight w:val="none"/>
              </w:rPr>
              <w:t>施工人数35人。</w:t>
            </w:r>
            <w:r>
              <w:rPr>
                <w:rFonts w:hint="default" w:ascii="Times New Roman" w:hAnsi="Times New Roman" w:cs="Times New Roman"/>
                <w:color w:val="auto"/>
                <w:spacing w:val="-8"/>
                <w:highlight w:val="none"/>
              </w:rPr>
              <w:t>试油期为</w:t>
            </w:r>
            <w:r>
              <w:rPr>
                <w:rFonts w:hint="eastAsia" w:ascii="Times New Roman" w:hAnsi="Times New Roman" w:cs="Times New Roman"/>
                <w:color w:val="auto"/>
                <w:spacing w:val="-8"/>
                <w:highlight w:val="none"/>
                <w:lang w:val="en-US" w:eastAsia="zh-CN"/>
              </w:rPr>
              <w:t>180</w:t>
            </w:r>
            <w:r>
              <w:rPr>
                <w:rFonts w:hint="default" w:ascii="Times New Roman" w:hAnsi="Times New Roman" w:cs="Times New Roman"/>
                <w:color w:val="auto"/>
                <w:spacing w:val="-8"/>
                <w:highlight w:val="none"/>
              </w:rPr>
              <w:t>天</w:t>
            </w:r>
            <w:r>
              <w:rPr>
                <w:rFonts w:hint="default" w:ascii="Times New Roman" w:hAnsi="Times New Roman" w:cs="Times New Roman"/>
                <w:color w:val="auto"/>
                <w:spacing w:val="-4"/>
                <w:highlight w:val="none"/>
              </w:rPr>
              <w:t>，试油人数2人。</w:t>
            </w:r>
          </w:p>
          <w:p>
            <w:pPr>
              <w:pStyle w:val="54"/>
              <w:numPr>
                <w:ilvl w:val="0"/>
                <w:numId w:val="9"/>
              </w:numPr>
              <w:bidi w:val="0"/>
              <w:ind w:left="9" w:leftChars="0" w:firstLineChars="0"/>
              <w:rPr>
                <w:rFonts w:hint="default"/>
                <w:color w:val="auto"/>
                <w:highlight w:val="none"/>
              </w:rPr>
            </w:pPr>
            <w:r>
              <w:rPr>
                <w:rFonts w:hint="eastAsia"/>
                <w:color w:val="auto"/>
                <w:highlight w:val="none"/>
                <w:lang w:val="en-US" w:eastAsia="zh-CN"/>
              </w:rPr>
              <w:t>主要</w:t>
            </w:r>
            <w:r>
              <w:rPr>
                <w:rFonts w:hint="default"/>
                <w:color w:val="auto"/>
                <w:highlight w:val="none"/>
              </w:rPr>
              <w:t>物料消耗</w:t>
            </w:r>
          </w:p>
          <w:p>
            <w:pPr>
              <w:snapToGrid w:val="0"/>
              <w:spacing w:line="500" w:lineRule="exact"/>
              <w:ind w:firstLine="480" w:firstLineChars="20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本项目</w:t>
            </w:r>
            <w:r>
              <w:rPr>
                <w:rFonts w:hint="default" w:ascii="Times New Roman" w:hAnsi="Times New Roman" w:cs="Times New Roman"/>
                <w:color w:val="auto"/>
                <w:highlight w:val="none"/>
              </w:rPr>
              <w:t>施工期消耗的主要物料及能耗包括：钻井液、压裂液、柴油、新鲜水等，消耗情况见表</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7。</w:t>
            </w:r>
          </w:p>
          <w:p>
            <w:pPr>
              <w:pStyle w:val="56"/>
              <w:bidi w:val="0"/>
              <w:rPr>
                <w:rFonts w:hint="default"/>
                <w:color w:val="auto"/>
                <w:highlight w:val="none"/>
                <w:lang w:val="en-US" w:eastAsia="zh-CN"/>
              </w:rPr>
            </w:pPr>
            <w:r>
              <w:rPr>
                <w:rFonts w:hint="eastAsia"/>
                <w:color w:val="auto"/>
                <w:highlight w:val="none"/>
                <w:lang w:val="en-US" w:eastAsia="zh-CN"/>
              </w:rPr>
              <w:t xml:space="preserve">表2-7  </w:t>
            </w:r>
            <w:r>
              <w:rPr>
                <w:rFonts w:hint="default"/>
                <w:color w:val="auto"/>
                <w:highlight w:val="none"/>
                <w:lang w:val="en-US" w:eastAsia="zh-CN"/>
              </w:rPr>
              <w:t>施工期主要消耗物料一览表</w:t>
            </w:r>
          </w:p>
          <w:tbl>
            <w:tblPr>
              <w:tblStyle w:val="2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57" w:type="dxa"/>
                <w:bottom w:w="0" w:type="dxa"/>
                <w:right w:w="57" w:type="dxa"/>
              </w:tblCellMar>
            </w:tblPr>
            <w:tblGrid>
              <w:gridCol w:w="936"/>
              <w:gridCol w:w="1177"/>
              <w:gridCol w:w="3072"/>
              <w:gridCol w:w="2650"/>
              <w:gridCol w:w="1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gridAfter w:val="1"/>
                <w:wAfter w:w="10" w:type="pct"/>
                <w:trHeight w:val="0" w:hRule="atLeast"/>
              </w:trPr>
              <w:tc>
                <w:tcPr>
                  <w:tcW w:w="596" w:type="pct"/>
                  <w:vAlign w:val="center"/>
                </w:tcPr>
                <w:p>
                  <w:pPr>
                    <w:snapToGrid w:val="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序号</w:t>
                  </w:r>
                </w:p>
              </w:tc>
              <w:tc>
                <w:tcPr>
                  <w:tcW w:w="2705" w:type="pct"/>
                  <w:gridSpan w:val="2"/>
                  <w:vAlign w:val="center"/>
                </w:tcPr>
                <w:p>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物料/能源名称</w:t>
                  </w:r>
                </w:p>
              </w:tc>
              <w:tc>
                <w:tcPr>
                  <w:tcW w:w="1687" w:type="pct"/>
                  <w:vAlign w:val="center"/>
                </w:tcPr>
                <w:p>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使用量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0" w:hRule="atLeast"/>
              </w:trPr>
              <w:tc>
                <w:tcPr>
                  <w:tcW w:w="596" w:type="pct"/>
                  <w:vAlign w:val="center"/>
                </w:tcPr>
                <w:p>
                  <w:pPr>
                    <w:snapToGrid w:val="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w:t>
                  </w:r>
                </w:p>
              </w:tc>
              <w:tc>
                <w:tcPr>
                  <w:tcW w:w="2705" w:type="pct"/>
                  <w:gridSpan w:val="2"/>
                  <w:vAlign w:val="center"/>
                </w:tcPr>
                <w:p>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水基钻井液（m</w:t>
                  </w:r>
                  <w:r>
                    <w:rPr>
                      <w:rFonts w:hint="default" w:ascii="Times New Roman" w:hAnsi="Times New Roman" w:cs="Times New Roman"/>
                      <w:color w:val="auto"/>
                      <w:sz w:val="21"/>
                      <w:szCs w:val="21"/>
                      <w:highlight w:val="none"/>
                      <w:vertAlign w:val="superscript"/>
                    </w:rPr>
                    <w:t>3</w:t>
                  </w:r>
                  <w:r>
                    <w:rPr>
                      <w:rFonts w:hint="default" w:ascii="Times New Roman" w:hAnsi="Times New Roman" w:cs="Times New Roman"/>
                      <w:color w:val="auto"/>
                      <w:sz w:val="21"/>
                      <w:szCs w:val="21"/>
                      <w:highlight w:val="none"/>
                    </w:rPr>
                    <w:t>）</w:t>
                  </w:r>
                </w:p>
              </w:tc>
              <w:tc>
                <w:tcPr>
                  <w:tcW w:w="1698" w:type="pct"/>
                  <w:gridSpan w:val="2"/>
                  <w:vAlign w:val="center"/>
                </w:tcPr>
                <w:p>
                  <w:pPr>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209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0" w:hRule="atLeast"/>
              </w:trPr>
              <w:tc>
                <w:tcPr>
                  <w:tcW w:w="596" w:type="pct"/>
                  <w:vAlign w:val="center"/>
                </w:tcPr>
                <w:p>
                  <w:pPr>
                    <w:snapToGrid w:val="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w:t>
                  </w:r>
                </w:p>
              </w:tc>
              <w:tc>
                <w:tcPr>
                  <w:tcW w:w="2705" w:type="pct"/>
                  <w:gridSpan w:val="2"/>
                  <w:vAlign w:val="center"/>
                </w:tcPr>
                <w:p>
                  <w:pPr>
                    <w:snapToGrid w:val="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油基</w:t>
                  </w:r>
                  <w:r>
                    <w:rPr>
                      <w:rFonts w:hint="default" w:ascii="Times New Roman" w:hAnsi="Times New Roman" w:cs="Times New Roman"/>
                      <w:color w:val="auto"/>
                      <w:sz w:val="21"/>
                      <w:szCs w:val="21"/>
                      <w:highlight w:val="none"/>
                    </w:rPr>
                    <w:t>钻井液（m</w:t>
                  </w:r>
                  <w:r>
                    <w:rPr>
                      <w:rFonts w:hint="default" w:ascii="Times New Roman" w:hAnsi="Times New Roman" w:cs="Times New Roman"/>
                      <w:color w:val="auto"/>
                      <w:sz w:val="21"/>
                      <w:szCs w:val="21"/>
                      <w:highlight w:val="none"/>
                      <w:vertAlign w:val="superscript"/>
                    </w:rPr>
                    <w:t>3</w:t>
                  </w:r>
                  <w:r>
                    <w:rPr>
                      <w:rFonts w:hint="default" w:ascii="Times New Roman" w:hAnsi="Times New Roman" w:cs="Times New Roman"/>
                      <w:color w:val="auto"/>
                      <w:sz w:val="21"/>
                      <w:szCs w:val="21"/>
                      <w:highlight w:val="none"/>
                    </w:rPr>
                    <w:t>）</w:t>
                  </w:r>
                </w:p>
              </w:tc>
              <w:tc>
                <w:tcPr>
                  <w:tcW w:w="1698" w:type="pct"/>
                  <w:gridSpan w:val="2"/>
                  <w:vAlign w:val="center"/>
                </w:tcPr>
                <w:p>
                  <w:pPr>
                    <w:snapToGrid w:val="0"/>
                    <w:jc w:val="center"/>
                    <w:rPr>
                      <w:rFonts w:hint="default" w:ascii="Times New Roman" w:hAnsi="Times New Roman" w:cs="Times New Roman"/>
                      <w:color w:val="auto"/>
                      <w:sz w:val="21"/>
                      <w:szCs w:val="21"/>
                      <w:highlight w:val="none"/>
                      <w:lang w:val="en-US" w:eastAsia="zh-CN"/>
                    </w:rPr>
                  </w:pPr>
                  <w:r>
                    <w:rPr>
                      <w:rFonts w:hint="eastAsia" w:cs="Times New Roman"/>
                      <w:color w:val="auto"/>
                      <w:kern w:val="0"/>
                      <w:sz w:val="21"/>
                      <w:szCs w:val="21"/>
                      <w:highlight w:val="none"/>
                      <w:lang w:val="en-US" w:eastAsia="zh-CN" w:bidi="ar"/>
                    </w:rPr>
                    <w:t>1187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0" w:hRule="atLeast"/>
              </w:trPr>
              <w:tc>
                <w:tcPr>
                  <w:tcW w:w="596" w:type="pct"/>
                  <w:vAlign w:val="center"/>
                </w:tcPr>
                <w:p>
                  <w:pPr>
                    <w:snapToGrid w:val="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w:t>
                  </w:r>
                </w:p>
              </w:tc>
              <w:tc>
                <w:tcPr>
                  <w:tcW w:w="2705" w:type="pct"/>
                  <w:gridSpan w:val="2"/>
                  <w:vAlign w:val="center"/>
                </w:tcPr>
                <w:p>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压裂液（m</w:t>
                  </w:r>
                  <w:r>
                    <w:rPr>
                      <w:rFonts w:hint="default" w:ascii="Times New Roman" w:hAnsi="Times New Roman" w:cs="Times New Roman"/>
                      <w:color w:val="auto"/>
                      <w:sz w:val="21"/>
                      <w:szCs w:val="21"/>
                      <w:highlight w:val="none"/>
                      <w:vertAlign w:val="superscript"/>
                    </w:rPr>
                    <w:t>3</w:t>
                  </w:r>
                  <w:r>
                    <w:rPr>
                      <w:rFonts w:hint="default" w:ascii="Times New Roman" w:hAnsi="Times New Roman" w:cs="Times New Roman"/>
                      <w:color w:val="auto"/>
                      <w:sz w:val="21"/>
                      <w:szCs w:val="21"/>
                      <w:highlight w:val="none"/>
                    </w:rPr>
                    <w:t>）</w:t>
                  </w:r>
                </w:p>
              </w:tc>
              <w:tc>
                <w:tcPr>
                  <w:tcW w:w="1698" w:type="pct"/>
                  <w:gridSpan w:val="2"/>
                  <w:vAlign w:val="center"/>
                </w:tcPr>
                <w:p>
                  <w:pPr>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1000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0" w:hRule="atLeast"/>
              </w:trPr>
              <w:tc>
                <w:tcPr>
                  <w:tcW w:w="596" w:type="pct"/>
                  <w:vAlign w:val="center"/>
                </w:tcPr>
                <w:p>
                  <w:pPr>
                    <w:snapToGrid w:val="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w:t>
                  </w:r>
                </w:p>
              </w:tc>
              <w:tc>
                <w:tcPr>
                  <w:tcW w:w="749" w:type="pct"/>
                  <w:vMerge w:val="restart"/>
                  <w:vAlign w:val="center"/>
                </w:tcPr>
                <w:p>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新鲜水</w:t>
                  </w:r>
                </w:p>
              </w:tc>
              <w:tc>
                <w:tcPr>
                  <w:tcW w:w="1956" w:type="pct"/>
                  <w:vAlign w:val="center"/>
                </w:tcPr>
                <w:p>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洗井用水（m</w:t>
                  </w:r>
                  <w:r>
                    <w:rPr>
                      <w:rFonts w:hint="default" w:ascii="Times New Roman" w:hAnsi="Times New Roman" w:cs="Times New Roman"/>
                      <w:color w:val="auto"/>
                      <w:sz w:val="21"/>
                      <w:szCs w:val="21"/>
                      <w:highlight w:val="none"/>
                      <w:vertAlign w:val="superscript"/>
                    </w:rPr>
                    <w:t>3</w:t>
                  </w:r>
                  <w:r>
                    <w:rPr>
                      <w:rFonts w:hint="default" w:ascii="Times New Roman" w:hAnsi="Times New Roman" w:cs="Times New Roman"/>
                      <w:color w:val="auto"/>
                      <w:sz w:val="21"/>
                      <w:szCs w:val="21"/>
                      <w:highlight w:val="none"/>
                    </w:rPr>
                    <w:t>）</w:t>
                  </w:r>
                </w:p>
              </w:tc>
              <w:tc>
                <w:tcPr>
                  <w:tcW w:w="1698" w:type="pct"/>
                  <w:gridSpan w:val="2"/>
                  <w:vAlign w:val="center"/>
                </w:tcPr>
                <w:p>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0" w:hRule="atLeast"/>
              </w:trPr>
              <w:tc>
                <w:tcPr>
                  <w:tcW w:w="596" w:type="pct"/>
                  <w:vAlign w:val="center"/>
                </w:tcPr>
                <w:p>
                  <w:pPr>
                    <w:snapToGrid w:val="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w:t>
                  </w:r>
                </w:p>
              </w:tc>
              <w:tc>
                <w:tcPr>
                  <w:tcW w:w="749" w:type="pct"/>
                  <w:vMerge w:val="continue"/>
                  <w:vAlign w:val="center"/>
                </w:tcPr>
                <w:p>
                  <w:pPr>
                    <w:snapToGrid w:val="0"/>
                    <w:jc w:val="center"/>
                    <w:rPr>
                      <w:rFonts w:hint="default" w:ascii="Times New Roman" w:hAnsi="Times New Roman" w:cs="Times New Roman"/>
                      <w:color w:val="auto"/>
                      <w:sz w:val="21"/>
                      <w:szCs w:val="21"/>
                      <w:highlight w:val="none"/>
                    </w:rPr>
                  </w:pPr>
                </w:p>
              </w:tc>
              <w:tc>
                <w:tcPr>
                  <w:tcW w:w="1956" w:type="pct"/>
                  <w:vAlign w:val="center"/>
                </w:tcPr>
                <w:p>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生活用水（m</w:t>
                  </w:r>
                  <w:r>
                    <w:rPr>
                      <w:rFonts w:hint="default" w:ascii="Times New Roman" w:hAnsi="Times New Roman" w:cs="Times New Roman"/>
                      <w:color w:val="auto"/>
                      <w:sz w:val="21"/>
                      <w:szCs w:val="21"/>
                      <w:highlight w:val="none"/>
                      <w:vertAlign w:val="superscript"/>
                    </w:rPr>
                    <w:t>3</w:t>
                  </w:r>
                  <w:r>
                    <w:rPr>
                      <w:rFonts w:hint="default" w:ascii="Times New Roman" w:hAnsi="Times New Roman" w:cs="Times New Roman"/>
                      <w:color w:val="auto"/>
                      <w:sz w:val="21"/>
                      <w:szCs w:val="21"/>
                      <w:highlight w:val="none"/>
                    </w:rPr>
                    <w:t>）</w:t>
                  </w:r>
                </w:p>
              </w:tc>
              <w:tc>
                <w:tcPr>
                  <w:tcW w:w="1698" w:type="pct"/>
                  <w:gridSpan w:val="2"/>
                  <w:vAlign w:val="center"/>
                </w:tcPr>
                <w:p>
                  <w:pPr>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36.4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0" w:hRule="atLeast"/>
              </w:trPr>
              <w:tc>
                <w:tcPr>
                  <w:tcW w:w="596" w:type="pct"/>
                  <w:vAlign w:val="center"/>
                </w:tcPr>
                <w:p>
                  <w:pPr>
                    <w:snapToGrid w:val="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6</w:t>
                  </w:r>
                </w:p>
              </w:tc>
              <w:tc>
                <w:tcPr>
                  <w:tcW w:w="749" w:type="pct"/>
                  <w:vMerge w:val="continue"/>
                  <w:vAlign w:val="center"/>
                </w:tcPr>
                <w:p>
                  <w:pPr>
                    <w:snapToGrid w:val="0"/>
                    <w:jc w:val="center"/>
                    <w:rPr>
                      <w:rFonts w:hint="default" w:ascii="Times New Roman" w:hAnsi="Times New Roman" w:cs="Times New Roman"/>
                      <w:color w:val="auto"/>
                      <w:sz w:val="21"/>
                      <w:szCs w:val="21"/>
                      <w:highlight w:val="none"/>
                    </w:rPr>
                  </w:pPr>
                </w:p>
              </w:tc>
              <w:tc>
                <w:tcPr>
                  <w:tcW w:w="1956" w:type="pct"/>
                  <w:vAlign w:val="center"/>
                </w:tcPr>
                <w:p>
                  <w:pPr>
                    <w:snapToGrid w:val="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水基钻井液配制用水（</w:t>
                  </w:r>
                  <w:r>
                    <w:rPr>
                      <w:rFonts w:hint="default" w:ascii="Times New Roman" w:hAnsi="Times New Roman" w:cs="Times New Roman"/>
                      <w:color w:val="auto"/>
                      <w:sz w:val="21"/>
                      <w:szCs w:val="21"/>
                      <w:highlight w:val="none"/>
                    </w:rPr>
                    <w:t>m</w:t>
                  </w:r>
                  <w:r>
                    <w:rPr>
                      <w:rFonts w:hint="default" w:ascii="Times New Roman" w:hAnsi="Times New Roman" w:cs="Times New Roman"/>
                      <w:color w:val="auto"/>
                      <w:sz w:val="21"/>
                      <w:szCs w:val="21"/>
                      <w:highlight w:val="none"/>
                      <w:vertAlign w:val="superscript"/>
                    </w:rPr>
                    <w:t>3</w:t>
                  </w:r>
                  <w:r>
                    <w:rPr>
                      <w:rFonts w:hint="eastAsia" w:cs="Times New Roman"/>
                      <w:color w:val="auto"/>
                      <w:sz w:val="21"/>
                      <w:szCs w:val="21"/>
                      <w:highlight w:val="none"/>
                      <w:lang w:val="en-US" w:eastAsia="zh-CN"/>
                    </w:rPr>
                    <w:t>）</w:t>
                  </w:r>
                </w:p>
              </w:tc>
              <w:tc>
                <w:tcPr>
                  <w:tcW w:w="1698" w:type="pct"/>
                  <w:gridSpan w:val="2"/>
                  <w:vAlign w:val="center"/>
                </w:tcPr>
                <w:p>
                  <w:pPr>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167.2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0" w:hRule="atLeast"/>
              </w:trPr>
              <w:tc>
                <w:tcPr>
                  <w:tcW w:w="596" w:type="pct"/>
                  <w:vAlign w:val="center"/>
                </w:tcPr>
                <w:p>
                  <w:pPr>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7</w:t>
                  </w:r>
                </w:p>
              </w:tc>
              <w:tc>
                <w:tcPr>
                  <w:tcW w:w="749" w:type="pct"/>
                  <w:vMerge w:val="continue"/>
                  <w:vAlign w:val="center"/>
                </w:tcPr>
                <w:p>
                  <w:pPr>
                    <w:snapToGrid w:val="0"/>
                    <w:jc w:val="center"/>
                    <w:rPr>
                      <w:rFonts w:hint="default" w:ascii="Times New Roman" w:hAnsi="Times New Roman" w:cs="Times New Roman"/>
                      <w:color w:val="auto"/>
                      <w:sz w:val="21"/>
                      <w:szCs w:val="21"/>
                      <w:highlight w:val="none"/>
                    </w:rPr>
                  </w:pPr>
                </w:p>
              </w:tc>
              <w:tc>
                <w:tcPr>
                  <w:tcW w:w="1956" w:type="pct"/>
                  <w:vAlign w:val="center"/>
                </w:tcPr>
                <w:p>
                  <w:pPr>
                    <w:snapToGri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油基钻井液配制用水（</w:t>
                  </w:r>
                  <w:r>
                    <w:rPr>
                      <w:rFonts w:hint="default" w:ascii="Times New Roman" w:hAnsi="Times New Roman" w:cs="Times New Roman"/>
                      <w:color w:val="auto"/>
                      <w:sz w:val="21"/>
                      <w:szCs w:val="21"/>
                      <w:highlight w:val="none"/>
                    </w:rPr>
                    <w:t>m</w:t>
                  </w:r>
                  <w:r>
                    <w:rPr>
                      <w:rFonts w:hint="default" w:ascii="Times New Roman" w:hAnsi="Times New Roman" w:cs="Times New Roman"/>
                      <w:color w:val="auto"/>
                      <w:sz w:val="21"/>
                      <w:szCs w:val="21"/>
                      <w:highlight w:val="none"/>
                      <w:vertAlign w:val="superscript"/>
                    </w:rPr>
                    <w:t>3</w:t>
                  </w:r>
                  <w:r>
                    <w:rPr>
                      <w:rFonts w:hint="eastAsia" w:cs="Times New Roman"/>
                      <w:color w:val="auto"/>
                      <w:sz w:val="21"/>
                      <w:szCs w:val="21"/>
                      <w:highlight w:val="none"/>
                      <w:lang w:val="en-US" w:eastAsia="zh-CN"/>
                    </w:rPr>
                    <w:t>）</w:t>
                  </w:r>
                </w:p>
              </w:tc>
              <w:tc>
                <w:tcPr>
                  <w:tcW w:w="1698" w:type="pct"/>
                  <w:gridSpan w:val="2"/>
                  <w:vAlign w:val="center"/>
                </w:tcPr>
                <w:p>
                  <w:pPr>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356.1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0" w:hRule="atLeast"/>
              </w:trPr>
              <w:tc>
                <w:tcPr>
                  <w:tcW w:w="596" w:type="pct"/>
                  <w:vAlign w:val="center"/>
                </w:tcPr>
                <w:p>
                  <w:pPr>
                    <w:snapToGrid w:val="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8</w:t>
                  </w:r>
                </w:p>
              </w:tc>
              <w:tc>
                <w:tcPr>
                  <w:tcW w:w="2705" w:type="pct"/>
                  <w:gridSpan w:val="2"/>
                  <w:vAlign w:val="center"/>
                </w:tcPr>
                <w:p>
                  <w:pPr>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柴油（t）</w:t>
                  </w:r>
                </w:p>
              </w:tc>
              <w:tc>
                <w:tcPr>
                  <w:tcW w:w="1698" w:type="pct"/>
                  <w:gridSpan w:val="2"/>
                  <w:vAlign w:val="center"/>
                </w:tcPr>
                <w:p>
                  <w:pPr>
                    <w:snapToGrid w:val="0"/>
                    <w:spacing w:line="300" w:lineRule="exact"/>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140</w:t>
                  </w:r>
                </w:p>
              </w:tc>
            </w:tr>
          </w:tbl>
          <w:p>
            <w:pPr>
              <w:pStyle w:val="10"/>
              <w:bidi w:val="0"/>
              <w:rPr>
                <w:rFonts w:hint="default"/>
                <w:color w:val="auto"/>
                <w:highlight w:val="none"/>
              </w:rPr>
            </w:pPr>
            <w:r>
              <w:rPr>
                <w:rFonts w:hint="default"/>
                <w:color w:val="auto"/>
                <w:highlight w:val="none"/>
                <w:lang w:eastAsia="zh-CN"/>
              </w:rPr>
              <w:t>（</w:t>
            </w:r>
            <w:r>
              <w:rPr>
                <w:rFonts w:hint="default"/>
                <w:color w:val="auto"/>
                <w:highlight w:val="none"/>
                <w:lang w:val="en-US" w:eastAsia="zh-CN"/>
              </w:rPr>
              <w:t>1</w:t>
            </w:r>
            <w:r>
              <w:rPr>
                <w:rFonts w:hint="default"/>
                <w:color w:val="auto"/>
                <w:highlight w:val="none"/>
                <w:lang w:eastAsia="zh-CN"/>
              </w:rPr>
              <w:t>）</w:t>
            </w:r>
            <w:r>
              <w:rPr>
                <w:rFonts w:hint="default"/>
                <w:color w:val="auto"/>
                <w:highlight w:val="none"/>
              </w:rPr>
              <w:t>钻井液</w:t>
            </w:r>
          </w:p>
          <w:p>
            <w:pPr>
              <w:pStyle w:val="10"/>
              <w:bidi w:val="0"/>
              <w:rPr>
                <w:rFonts w:hint="default" w:ascii="Times New Roman" w:hAnsi="Times New Roman" w:cs="Times New Roman"/>
                <w:color w:val="auto"/>
                <w:highlight w:val="none"/>
              </w:rPr>
            </w:pPr>
            <w:bookmarkStart w:id="51" w:name="_Hlk183359743"/>
            <w:bookmarkStart w:id="52" w:name="OLE_LINK36"/>
            <w:bookmarkStart w:id="53" w:name="_Hlk167901113"/>
            <w:bookmarkStart w:id="54" w:name="_Hlk176173839"/>
            <w:bookmarkStart w:id="55" w:name="_Hlk186373794"/>
            <w:r>
              <w:rPr>
                <w:rFonts w:hint="default" w:ascii="Times New Roman" w:hAnsi="Times New Roman" w:cs="Times New Roman"/>
                <w:color w:val="auto"/>
                <w:highlight w:val="none"/>
                <w:lang w:bidi="ar"/>
              </w:rPr>
              <w:t>根据建设单位提供的设计资料可知</w:t>
            </w:r>
            <w:bookmarkEnd w:id="51"/>
            <w:r>
              <w:rPr>
                <w:rFonts w:hint="default" w:ascii="Times New Roman" w:hAnsi="Times New Roman" w:cs="Times New Roman"/>
                <w:color w:val="auto"/>
                <w:highlight w:val="none"/>
                <w:lang w:bidi="ar"/>
              </w:rPr>
              <w:t>，</w:t>
            </w:r>
            <w:r>
              <w:rPr>
                <w:rFonts w:hint="eastAsia" w:ascii="Times New Roman" w:hAnsi="Times New Roman" w:cs="Times New Roman"/>
                <w:color w:val="auto"/>
                <w:highlight w:val="none"/>
                <w:lang w:val="en-US" w:eastAsia="zh-CN" w:bidi="ar"/>
              </w:rPr>
              <w:t>项目一开</w:t>
            </w:r>
            <w:r>
              <w:rPr>
                <w:rFonts w:hint="default" w:ascii="Times New Roman" w:hAnsi="Times New Roman" w:cs="Times New Roman"/>
                <w:color w:val="auto"/>
                <w:highlight w:val="none"/>
              </w:rPr>
              <w:t>采用非磺化水基钻井液</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主要成分为</w:t>
            </w:r>
            <w:r>
              <w:rPr>
                <w:rFonts w:hint="eastAsia" w:cs="Times New Roman"/>
                <w:b w:val="0"/>
                <w:bCs w:val="0"/>
                <w:color w:val="auto"/>
                <w:highlight w:val="none"/>
                <w:lang w:val="en-US" w:eastAsia="zh-CN"/>
              </w:rPr>
              <w:t>水、</w:t>
            </w:r>
            <w:r>
              <w:rPr>
                <w:rFonts w:hint="default" w:ascii="Times New Roman" w:hAnsi="Times New Roman" w:cs="Times New Roman"/>
                <w:color w:val="auto"/>
                <w:highlight w:val="none"/>
              </w:rPr>
              <w:t>坂土、Na</w:t>
            </w:r>
            <w:r>
              <w:rPr>
                <w:rFonts w:hint="default" w:ascii="Times New Roman" w:hAnsi="Times New Roman" w:cs="Times New Roman"/>
                <w:color w:val="auto"/>
                <w:highlight w:val="none"/>
                <w:vertAlign w:val="subscript"/>
              </w:rPr>
              <w:t>2</w:t>
            </w:r>
            <w:r>
              <w:rPr>
                <w:rFonts w:hint="default" w:ascii="Times New Roman" w:hAnsi="Times New Roman" w:cs="Times New Roman"/>
                <w:color w:val="auto"/>
                <w:highlight w:val="none"/>
              </w:rPr>
              <w:t>CO</w:t>
            </w:r>
            <w:r>
              <w:rPr>
                <w:rFonts w:hint="default" w:ascii="Times New Roman" w:hAnsi="Times New Roman" w:cs="Times New Roman"/>
                <w:color w:val="auto"/>
                <w:highlight w:val="none"/>
                <w:vertAlign w:val="subscript"/>
              </w:rPr>
              <w:t>3</w:t>
            </w:r>
            <w:r>
              <w:rPr>
                <w:rFonts w:hint="default" w:ascii="Times New Roman" w:hAnsi="Times New Roman" w:cs="Times New Roman"/>
                <w:color w:val="auto"/>
                <w:highlight w:val="none"/>
              </w:rPr>
              <w:t>、重晶石等</w:t>
            </w:r>
            <w:r>
              <w:rPr>
                <w:rFonts w:hint="eastAsia" w:cs="Times New Roman"/>
                <w:color w:val="auto"/>
                <w:highlight w:val="none"/>
                <w:lang w:eastAsia="zh-CN"/>
              </w:rPr>
              <w:t>，</w:t>
            </w:r>
            <w:r>
              <w:rPr>
                <w:rFonts w:hint="eastAsia" w:cs="Times New Roman"/>
                <w:color w:val="auto"/>
                <w:highlight w:val="none"/>
                <w:lang w:val="en-US" w:eastAsia="zh-CN"/>
              </w:rPr>
              <w:t>其中水的体积占比为80%</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二开</w:t>
            </w:r>
            <w:r>
              <w:rPr>
                <w:rFonts w:hint="eastAsia" w:cs="Times New Roman"/>
                <w:color w:val="auto"/>
                <w:highlight w:val="none"/>
                <w:lang w:val="en-US" w:eastAsia="zh-CN"/>
              </w:rPr>
              <w:t>、三开</w:t>
            </w:r>
            <w:r>
              <w:rPr>
                <w:rFonts w:hint="eastAsia" w:ascii="Times New Roman" w:hAnsi="Times New Roman" w:cs="Times New Roman"/>
                <w:color w:val="auto"/>
                <w:highlight w:val="none"/>
                <w:lang w:val="en-US" w:eastAsia="zh-CN"/>
              </w:rPr>
              <w:t>采用油基钻井液</w:t>
            </w:r>
            <w:r>
              <w:rPr>
                <w:rFonts w:hint="eastAsia" w:cs="Times New Roman"/>
                <w:color w:val="auto"/>
                <w:highlight w:val="none"/>
                <w:lang w:val="en-US" w:eastAsia="zh-CN"/>
              </w:rPr>
              <w:t>，其中水的体积占比为30%，白油的体积占比为50%</w:t>
            </w:r>
            <w:r>
              <w:rPr>
                <w:rFonts w:hint="eastAsia" w:ascii="Times New Roman" w:hAnsi="Times New Roman" w:cs="Times New Roman"/>
                <w:color w:val="auto"/>
                <w:highlight w:val="none"/>
                <w:lang w:val="en-US" w:eastAsia="zh-CN"/>
              </w:rPr>
              <w:t>。</w:t>
            </w:r>
            <w:bookmarkEnd w:id="52"/>
            <w:r>
              <w:rPr>
                <w:rFonts w:hint="default" w:ascii="Times New Roman" w:hAnsi="Times New Roman" w:cs="Times New Roman"/>
                <w:color w:val="auto"/>
                <w:highlight w:val="none"/>
              </w:rPr>
              <w:t>钻井液用量</w:t>
            </w:r>
            <w:r>
              <w:rPr>
                <w:rFonts w:hint="eastAsia" w:cs="Times New Roman"/>
                <w:color w:val="auto"/>
                <w:highlight w:val="none"/>
                <w:lang w:val="en-US" w:eastAsia="zh-CN"/>
              </w:rPr>
              <w:t>及成分说明</w:t>
            </w:r>
            <w:r>
              <w:rPr>
                <w:rFonts w:hint="default" w:ascii="Times New Roman" w:hAnsi="Times New Roman" w:cs="Times New Roman"/>
                <w:color w:val="auto"/>
                <w:highlight w:val="none"/>
              </w:rPr>
              <w:t>见表</w:t>
            </w:r>
            <w:r>
              <w:rPr>
                <w:rFonts w:hint="eastAsia" w:ascii="Times New Roman" w:hAnsi="Times New Roman" w:cs="Times New Roman"/>
                <w:color w:val="auto"/>
                <w:highlight w:val="none"/>
                <w:lang w:val="en-US" w:eastAsia="zh-CN"/>
              </w:rPr>
              <w:t>2-8</w:t>
            </w:r>
            <w:r>
              <w:rPr>
                <w:rFonts w:hint="default" w:ascii="Times New Roman" w:hAnsi="Times New Roman" w:cs="Times New Roman"/>
                <w:color w:val="auto"/>
                <w:highlight w:val="none"/>
              </w:rPr>
              <w:t>。</w:t>
            </w:r>
          </w:p>
          <w:bookmarkEnd w:id="53"/>
          <w:bookmarkEnd w:id="54"/>
          <w:p>
            <w:pPr>
              <w:pStyle w:val="56"/>
              <w:bidi w:val="0"/>
              <w:rPr>
                <w:rFonts w:hint="default"/>
                <w:color w:val="auto"/>
                <w:highlight w:val="none"/>
              </w:rPr>
            </w:pPr>
            <w:bookmarkStart w:id="56" w:name="_Ref66721972"/>
            <w:bookmarkStart w:id="57" w:name="_Hlk176173812"/>
            <w:r>
              <w:rPr>
                <w:rFonts w:hint="default"/>
                <w:color w:val="auto"/>
                <w:highlight w:val="none"/>
              </w:rPr>
              <w:t>表</w:t>
            </w:r>
            <w:bookmarkEnd w:id="56"/>
            <w:r>
              <w:rPr>
                <w:rFonts w:hint="default"/>
                <w:color w:val="auto"/>
                <w:highlight w:val="none"/>
                <w:lang w:val="en-US" w:eastAsia="zh-CN"/>
              </w:rPr>
              <w:t>2-</w:t>
            </w:r>
            <w:r>
              <w:rPr>
                <w:rFonts w:hint="eastAsia"/>
                <w:color w:val="auto"/>
                <w:highlight w:val="none"/>
                <w:lang w:val="en-US" w:eastAsia="zh-CN"/>
              </w:rPr>
              <w:t>8</w:t>
            </w:r>
            <w:r>
              <w:rPr>
                <w:rFonts w:hint="default"/>
                <w:color w:val="auto"/>
                <w:highlight w:val="none"/>
              </w:rPr>
              <w:t xml:space="preserve">  钻井液</w:t>
            </w:r>
            <w:r>
              <w:rPr>
                <w:rFonts w:hint="eastAsia"/>
                <w:color w:val="auto"/>
                <w:highlight w:val="none"/>
                <w:lang w:val="en-US" w:eastAsia="zh-CN"/>
              </w:rPr>
              <w:t>体系及</w:t>
            </w:r>
            <w:r>
              <w:rPr>
                <w:rFonts w:hint="default"/>
                <w:color w:val="auto"/>
                <w:highlight w:val="none"/>
              </w:rPr>
              <w:t>用量</w:t>
            </w:r>
            <w:r>
              <w:rPr>
                <w:rFonts w:hint="eastAsia"/>
                <w:color w:val="auto"/>
                <w:highlight w:val="none"/>
                <w:lang w:val="en-US" w:eastAsia="zh-CN"/>
              </w:rPr>
              <w:t>一览</w:t>
            </w:r>
            <w:r>
              <w:rPr>
                <w:rFonts w:hint="default"/>
                <w:color w:val="auto"/>
                <w:highlight w:val="none"/>
              </w:rPr>
              <w:t>表</w:t>
            </w:r>
          </w:p>
          <w:tbl>
            <w:tblPr>
              <w:tblStyle w:val="2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57" w:type="dxa"/>
                <w:bottom w:w="0" w:type="dxa"/>
                <w:right w:w="57" w:type="dxa"/>
              </w:tblCellMar>
            </w:tblPr>
            <w:tblGrid>
              <w:gridCol w:w="1167"/>
              <w:gridCol w:w="3867"/>
              <w:gridCol w:w="1385"/>
              <w:gridCol w:w="143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743" w:type="pct"/>
                  <w:tcBorders>
                    <w:tl2br w:val="nil"/>
                    <w:tr2bl w:val="nil"/>
                  </w:tcBorders>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开钻次序</w:t>
                  </w:r>
                </w:p>
              </w:tc>
              <w:tc>
                <w:tcPr>
                  <w:tcW w:w="2462" w:type="pct"/>
                  <w:tcBorders>
                    <w:tl2br w:val="nil"/>
                    <w:tr2bl w:val="nil"/>
                  </w:tcBorders>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钻井液体系</w:t>
                  </w:r>
                </w:p>
              </w:tc>
              <w:tc>
                <w:tcPr>
                  <w:tcW w:w="882" w:type="pct"/>
                  <w:tcBorders>
                    <w:tl2br w:val="nil"/>
                    <w:tr2bl w:val="nil"/>
                  </w:tcBorders>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用量（m</w:t>
                  </w:r>
                  <w:r>
                    <w:rPr>
                      <w:rFonts w:hint="default" w:ascii="Times New Roman" w:hAnsi="Times New Roman" w:cs="Times New Roman"/>
                      <w:color w:val="auto"/>
                      <w:sz w:val="21"/>
                      <w:szCs w:val="21"/>
                      <w:highlight w:val="none"/>
                      <w:vertAlign w:val="superscript"/>
                    </w:rPr>
                    <w:t>3</w:t>
                  </w:r>
                  <w:r>
                    <w:rPr>
                      <w:rFonts w:hint="default" w:ascii="Times New Roman" w:hAnsi="Times New Roman" w:cs="Times New Roman"/>
                      <w:color w:val="auto"/>
                      <w:sz w:val="21"/>
                      <w:szCs w:val="21"/>
                      <w:highlight w:val="none"/>
                    </w:rPr>
                    <w:t>）</w:t>
                  </w:r>
                </w:p>
              </w:tc>
              <w:tc>
                <w:tcPr>
                  <w:tcW w:w="911" w:type="pct"/>
                  <w:tcBorders>
                    <w:tl2br w:val="nil"/>
                    <w:tr2bl w:val="nil"/>
                  </w:tcBorders>
                  <w:vAlign w:val="center"/>
                </w:tcPr>
                <w:p>
                  <w:pPr>
                    <w:adjustRightInd w:val="0"/>
                    <w:snapToGrid w:val="0"/>
                    <w:spacing w:line="300" w:lineRule="exact"/>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用水量（m</w:t>
                  </w:r>
                  <w:r>
                    <w:rPr>
                      <w:rFonts w:hint="eastAsia" w:cs="Times New Roman"/>
                      <w:color w:val="auto"/>
                      <w:sz w:val="21"/>
                      <w:szCs w:val="21"/>
                      <w:highlight w:val="none"/>
                      <w:vertAlign w:val="superscript"/>
                      <w:lang w:val="en-US" w:eastAsia="zh-CN"/>
                    </w:rPr>
                    <w:t>3</w:t>
                  </w:r>
                  <w:r>
                    <w:rPr>
                      <w:rFonts w:hint="eastAsia" w:cs="Times New Roman"/>
                      <w:color w:val="auto"/>
                      <w:sz w:val="21"/>
                      <w:szCs w:val="21"/>
                      <w:highlight w:val="none"/>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743" w:type="pct"/>
                  <w:tcBorders>
                    <w:tl2br w:val="nil"/>
                    <w:tr2bl w:val="nil"/>
                  </w:tcBorders>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一开</w:t>
                  </w:r>
                </w:p>
              </w:tc>
              <w:tc>
                <w:tcPr>
                  <w:tcW w:w="2462" w:type="pct"/>
                  <w:tcBorders>
                    <w:tl2br w:val="nil"/>
                    <w:tr2bl w:val="nil"/>
                  </w:tcBorders>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eastAsia" w:ascii="宋体" w:hAnsi="宋体" w:cs="宋体"/>
                      <w:color w:val="auto"/>
                      <w:sz w:val="21"/>
                      <w:szCs w:val="21"/>
                      <w:highlight w:val="none"/>
                    </w:rPr>
                    <w:t>水基钻井液</w:t>
                  </w:r>
                  <w:r>
                    <w:rPr>
                      <w:rFonts w:hint="default" w:ascii="Times New Roman" w:hAnsi="Times New Roman" w:cs="Times New Roman"/>
                      <w:color w:val="auto"/>
                      <w:sz w:val="21"/>
                      <w:szCs w:val="21"/>
                      <w:highlight w:val="none"/>
                    </w:rPr>
                    <w:t>（坂土-CMC）</w:t>
                  </w:r>
                </w:p>
              </w:tc>
              <w:tc>
                <w:tcPr>
                  <w:tcW w:w="882" w:type="pct"/>
                  <w:tcBorders>
                    <w:tl2br w:val="nil"/>
                    <w:tr2bl w:val="nil"/>
                  </w:tcBorders>
                  <w:vAlign w:val="center"/>
                </w:tcPr>
                <w:p>
                  <w:pPr>
                    <w:adjustRightInd w:val="0"/>
                    <w:snapToGrid w:val="0"/>
                    <w:spacing w:line="300" w:lineRule="exact"/>
                    <w:jc w:val="center"/>
                    <w:rPr>
                      <w:rFonts w:hint="default" w:ascii="Times New Roman" w:hAnsi="Times New Roman" w:eastAsia="宋体" w:cs="Times New Roman"/>
                      <w:color w:val="auto"/>
                      <w:sz w:val="21"/>
                      <w:szCs w:val="21"/>
                      <w:highlight w:val="none"/>
                      <w:lang w:val="en-US" w:eastAsia="zh-CN"/>
                    </w:rPr>
                  </w:pPr>
                  <w:bookmarkStart w:id="58" w:name="OLE_LINK44"/>
                  <w:r>
                    <w:rPr>
                      <w:rFonts w:hint="default" w:ascii="Times New Roman" w:hAnsi="Times New Roman" w:cs="Times New Roman"/>
                      <w:color w:val="auto"/>
                      <w:sz w:val="21"/>
                      <w:szCs w:val="21"/>
                      <w:highlight w:val="none"/>
                      <w:lang w:val="en-US" w:eastAsia="zh-CN"/>
                    </w:rPr>
                    <w:t>209</w:t>
                  </w:r>
                  <w:bookmarkEnd w:id="58"/>
                </w:p>
              </w:tc>
              <w:tc>
                <w:tcPr>
                  <w:tcW w:w="911" w:type="pct"/>
                  <w:tcBorders>
                    <w:tl2br w:val="nil"/>
                    <w:tr2bl w:val="nil"/>
                  </w:tcBorders>
                  <w:vAlign w:val="center"/>
                </w:tcPr>
                <w:p>
                  <w:pPr>
                    <w:adjustRightInd w:val="0"/>
                    <w:snapToGrid w:val="0"/>
                    <w:spacing w:line="300" w:lineRule="exact"/>
                    <w:jc w:val="center"/>
                    <w:rPr>
                      <w:rFonts w:hint="default" w:ascii="Times New Roman" w:hAnsi="Times New Roman" w:cs="Times New Roman"/>
                      <w:color w:val="auto"/>
                      <w:sz w:val="21"/>
                      <w:szCs w:val="21"/>
                      <w:highlight w:val="none"/>
                      <w:lang w:val="en-US" w:eastAsia="zh-CN"/>
                    </w:rPr>
                  </w:pPr>
                  <w:bookmarkStart w:id="59" w:name="OLE_LINK42"/>
                  <w:r>
                    <w:rPr>
                      <w:rFonts w:hint="default" w:ascii="Times New Roman" w:hAnsi="Times New Roman" w:cs="Times New Roman"/>
                      <w:color w:val="auto"/>
                      <w:sz w:val="21"/>
                      <w:szCs w:val="21"/>
                      <w:highlight w:val="none"/>
                      <w:lang w:val="en-US" w:eastAsia="zh-CN"/>
                    </w:rPr>
                    <w:t>167.2</w:t>
                  </w:r>
                  <w:bookmarkEnd w:id="59"/>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743" w:type="pct"/>
                  <w:tcBorders>
                    <w:tl2br w:val="nil"/>
                    <w:tr2bl w:val="nil"/>
                  </w:tcBorders>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二开</w:t>
                  </w:r>
                </w:p>
              </w:tc>
              <w:tc>
                <w:tcPr>
                  <w:tcW w:w="2462" w:type="pct"/>
                  <w:tcBorders>
                    <w:tl2br w:val="nil"/>
                    <w:tr2bl w:val="nil"/>
                  </w:tcBorders>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eastAsia" w:ascii="宋体" w:hAnsi="宋体" w:cs="宋体"/>
                      <w:color w:val="auto"/>
                      <w:sz w:val="21"/>
                      <w:szCs w:val="21"/>
                      <w:highlight w:val="none"/>
                    </w:rPr>
                    <w:t>油基钻井液</w:t>
                  </w:r>
                  <w:r>
                    <w:rPr>
                      <w:rFonts w:hint="eastAsia" w:ascii="Times New Roman" w:hAnsi="Times New Roman" w:cs="Times New Roman"/>
                      <w:color w:val="auto"/>
                      <w:sz w:val="21"/>
                      <w:szCs w:val="21"/>
                      <w:highlight w:val="none"/>
                      <w:lang w:eastAsia="zh-CN"/>
                    </w:rPr>
                    <w:t>（白油、氧化钙、重晶石</w:t>
                  </w:r>
                  <w:r>
                    <w:rPr>
                      <w:rFonts w:hint="eastAsia" w:ascii="Times New Roman" w:hAnsi="Times New Roman" w:cs="Times New Roman"/>
                      <w:color w:val="auto"/>
                      <w:sz w:val="21"/>
                      <w:szCs w:val="21"/>
                      <w:highlight w:val="none"/>
                      <w:lang w:val="en-US" w:eastAsia="zh-CN"/>
                    </w:rPr>
                    <w:t>等</w:t>
                  </w:r>
                  <w:r>
                    <w:rPr>
                      <w:rFonts w:hint="eastAsia" w:ascii="Times New Roman" w:hAnsi="Times New Roman" w:cs="Times New Roman"/>
                      <w:color w:val="auto"/>
                      <w:sz w:val="21"/>
                      <w:szCs w:val="21"/>
                      <w:highlight w:val="none"/>
                      <w:lang w:eastAsia="zh-CN"/>
                    </w:rPr>
                    <w:t>）</w:t>
                  </w:r>
                </w:p>
              </w:tc>
              <w:tc>
                <w:tcPr>
                  <w:tcW w:w="882" w:type="pct"/>
                  <w:tcBorders>
                    <w:tl2br w:val="nil"/>
                    <w:tr2bl w:val="nil"/>
                  </w:tcBorders>
                  <w:vAlign w:val="center"/>
                </w:tcPr>
                <w:p>
                  <w:pPr>
                    <w:adjustRightInd w:val="0"/>
                    <w:snapToGrid w:val="0"/>
                    <w:spacing w:line="300" w:lineRule="exact"/>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756</w:t>
                  </w:r>
                </w:p>
              </w:tc>
              <w:tc>
                <w:tcPr>
                  <w:tcW w:w="911" w:type="pct"/>
                  <w:tcBorders>
                    <w:tl2br w:val="nil"/>
                    <w:tr2bl w:val="nil"/>
                  </w:tcBorders>
                  <w:vAlign w:val="center"/>
                </w:tcPr>
                <w:p>
                  <w:pPr>
                    <w:adjustRightInd w:val="0"/>
                    <w:snapToGrid w:val="0"/>
                    <w:spacing w:line="300" w:lineRule="exact"/>
                    <w:jc w:val="center"/>
                    <w:rPr>
                      <w:rFonts w:hint="default" w:ascii="Times New Roman" w:hAnsi="Times New Roman" w:cs="Times New Roman"/>
                      <w:color w:val="auto"/>
                      <w:sz w:val="21"/>
                      <w:szCs w:val="21"/>
                      <w:highlight w:val="none"/>
                      <w:lang w:val="en-US" w:eastAsia="zh-CN"/>
                    </w:rPr>
                  </w:pPr>
                  <w:bookmarkStart w:id="60" w:name="OLE_LINK16"/>
                  <w:r>
                    <w:rPr>
                      <w:rFonts w:hint="default" w:ascii="Times New Roman" w:hAnsi="Times New Roman" w:cs="Times New Roman"/>
                      <w:color w:val="auto"/>
                      <w:sz w:val="21"/>
                      <w:szCs w:val="21"/>
                      <w:highlight w:val="none"/>
                      <w:lang w:val="en-US" w:eastAsia="zh-CN"/>
                    </w:rPr>
                    <w:t>226.8</w:t>
                  </w:r>
                </w:p>
                <w:bookmarkEnd w:id="60"/>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743" w:type="pct"/>
                  <w:tcBorders>
                    <w:tl2br w:val="nil"/>
                    <w:tr2bl w:val="nil"/>
                  </w:tcBorders>
                  <w:vAlign w:val="center"/>
                </w:tcPr>
                <w:p>
                  <w:pPr>
                    <w:adjustRightInd w:val="0"/>
                    <w:snapToGrid w:val="0"/>
                    <w:spacing w:line="300" w:lineRule="exact"/>
                    <w:jc w:val="center"/>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三</w:t>
                  </w:r>
                  <w:r>
                    <w:rPr>
                      <w:rFonts w:hint="eastAsia" w:cs="Times New Roman"/>
                      <w:color w:val="auto"/>
                      <w:sz w:val="21"/>
                      <w:szCs w:val="21"/>
                      <w:highlight w:val="none"/>
                      <w:lang w:eastAsia="zh-CN"/>
                    </w:rPr>
                    <w:t>开</w:t>
                  </w:r>
                </w:p>
              </w:tc>
              <w:tc>
                <w:tcPr>
                  <w:tcW w:w="2462" w:type="pct"/>
                  <w:tcBorders>
                    <w:tl2br w:val="nil"/>
                    <w:tr2bl w:val="nil"/>
                  </w:tcBorders>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eastAsia" w:ascii="宋体" w:hAnsi="宋体" w:cs="宋体"/>
                      <w:color w:val="auto"/>
                      <w:sz w:val="21"/>
                      <w:szCs w:val="21"/>
                      <w:highlight w:val="none"/>
                    </w:rPr>
                    <w:t>油基钻井液</w:t>
                  </w:r>
                  <w:r>
                    <w:rPr>
                      <w:rFonts w:hint="eastAsia" w:ascii="Times New Roman" w:hAnsi="Times New Roman" w:cs="Times New Roman"/>
                      <w:color w:val="auto"/>
                      <w:sz w:val="21"/>
                      <w:szCs w:val="21"/>
                      <w:highlight w:val="none"/>
                      <w:lang w:eastAsia="zh-CN"/>
                    </w:rPr>
                    <w:t>（白油、氧化钙、重晶石</w:t>
                  </w:r>
                  <w:r>
                    <w:rPr>
                      <w:rFonts w:hint="eastAsia" w:ascii="Times New Roman" w:hAnsi="Times New Roman" w:cs="Times New Roman"/>
                      <w:color w:val="auto"/>
                      <w:sz w:val="21"/>
                      <w:szCs w:val="21"/>
                      <w:highlight w:val="none"/>
                      <w:lang w:val="en-US" w:eastAsia="zh-CN"/>
                    </w:rPr>
                    <w:t>等</w:t>
                  </w:r>
                  <w:r>
                    <w:rPr>
                      <w:rFonts w:hint="eastAsia" w:ascii="Times New Roman" w:hAnsi="Times New Roman" w:cs="Times New Roman"/>
                      <w:color w:val="auto"/>
                      <w:sz w:val="21"/>
                      <w:szCs w:val="21"/>
                      <w:highlight w:val="none"/>
                      <w:lang w:eastAsia="zh-CN"/>
                    </w:rPr>
                    <w:t>）</w:t>
                  </w:r>
                </w:p>
              </w:tc>
              <w:tc>
                <w:tcPr>
                  <w:tcW w:w="882" w:type="pct"/>
                  <w:tcBorders>
                    <w:tl2br w:val="nil"/>
                    <w:tr2bl w:val="nil"/>
                  </w:tcBorders>
                  <w:vAlign w:val="center"/>
                </w:tcPr>
                <w:p>
                  <w:pPr>
                    <w:adjustRightInd w:val="0"/>
                    <w:snapToGrid w:val="0"/>
                    <w:spacing w:line="300" w:lineRule="exact"/>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431</w:t>
                  </w:r>
                </w:p>
              </w:tc>
              <w:tc>
                <w:tcPr>
                  <w:tcW w:w="911" w:type="pct"/>
                  <w:tcBorders>
                    <w:tl2br w:val="nil"/>
                    <w:tr2bl w:val="nil"/>
                  </w:tcBorders>
                  <w:vAlign w:val="center"/>
                </w:tcPr>
                <w:p>
                  <w:pPr>
                    <w:adjustRightInd w:val="0"/>
                    <w:snapToGrid w:val="0"/>
                    <w:spacing w:line="300" w:lineRule="exact"/>
                    <w:jc w:val="center"/>
                    <w:rPr>
                      <w:rFonts w:hint="default" w:ascii="Times New Roman" w:hAnsi="Times New Roman" w:cs="Times New Roman"/>
                      <w:color w:val="auto"/>
                      <w:sz w:val="21"/>
                      <w:szCs w:val="21"/>
                      <w:highlight w:val="none"/>
                      <w:lang w:val="en-US" w:eastAsia="zh-CN"/>
                    </w:rPr>
                  </w:pPr>
                  <w:bookmarkStart w:id="61" w:name="OLE_LINK63"/>
                  <w:r>
                    <w:rPr>
                      <w:rFonts w:hint="eastAsia" w:cs="Times New Roman"/>
                      <w:color w:val="auto"/>
                      <w:sz w:val="21"/>
                      <w:szCs w:val="21"/>
                      <w:highlight w:val="none"/>
                      <w:lang w:val="en-US" w:eastAsia="zh-CN"/>
                    </w:rPr>
                    <w:t>129.3</w:t>
                  </w:r>
                  <w:bookmarkEnd w:id="61"/>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3206" w:type="pct"/>
                  <w:gridSpan w:val="2"/>
                  <w:tcBorders>
                    <w:tl2br w:val="nil"/>
                    <w:tr2bl w:val="nil"/>
                  </w:tcBorders>
                  <w:vAlign w:val="center"/>
                </w:tcPr>
                <w:p>
                  <w:pPr>
                    <w:adjustRightInd w:val="0"/>
                    <w:snapToGrid w:val="0"/>
                    <w:spacing w:line="300" w:lineRule="exact"/>
                    <w:jc w:val="center"/>
                    <w:rPr>
                      <w:rFonts w:hint="default" w:ascii="宋体" w:hAnsi="宋体" w:cs="宋体"/>
                      <w:color w:val="auto"/>
                      <w:sz w:val="21"/>
                      <w:szCs w:val="21"/>
                      <w:highlight w:val="none"/>
                      <w:lang w:val="en-US"/>
                    </w:rPr>
                  </w:pPr>
                  <w:r>
                    <w:rPr>
                      <w:rFonts w:hint="default" w:ascii="Times New Roman" w:hAnsi="Times New Roman" w:cs="Times New Roman"/>
                      <w:color w:val="auto"/>
                      <w:sz w:val="21"/>
                      <w:szCs w:val="21"/>
                      <w:highlight w:val="none"/>
                    </w:rPr>
                    <w:t>二</w:t>
                  </w:r>
                  <w:r>
                    <w:rPr>
                      <w:rFonts w:hint="eastAsia" w:ascii="Times New Roman" w:hAnsi="Times New Roman" w:cs="Times New Roman"/>
                      <w:color w:val="auto"/>
                      <w:sz w:val="21"/>
                      <w:szCs w:val="21"/>
                      <w:highlight w:val="none"/>
                      <w:lang w:eastAsia="zh-CN"/>
                    </w:rPr>
                    <w:t>、</w:t>
                  </w:r>
                  <w:r>
                    <w:rPr>
                      <w:rFonts w:hint="eastAsia" w:cs="Times New Roman"/>
                      <w:color w:val="auto"/>
                      <w:sz w:val="21"/>
                      <w:szCs w:val="21"/>
                      <w:highlight w:val="none"/>
                      <w:lang w:val="en-US" w:eastAsia="zh-CN"/>
                    </w:rPr>
                    <w:t>三开油基岩屑合计</w:t>
                  </w:r>
                </w:p>
              </w:tc>
              <w:tc>
                <w:tcPr>
                  <w:tcW w:w="882" w:type="pct"/>
                  <w:tcBorders>
                    <w:tl2br w:val="nil"/>
                    <w:tr2bl w:val="nil"/>
                  </w:tcBorders>
                  <w:vAlign w:val="center"/>
                </w:tcPr>
                <w:p>
                  <w:pPr>
                    <w:adjustRightInd w:val="0"/>
                    <w:snapToGrid w:val="0"/>
                    <w:spacing w:line="300" w:lineRule="exact"/>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1187</w:t>
                  </w:r>
                </w:p>
              </w:tc>
              <w:tc>
                <w:tcPr>
                  <w:tcW w:w="911" w:type="pct"/>
                  <w:tcBorders>
                    <w:tl2br w:val="nil"/>
                    <w:tr2bl w:val="nil"/>
                  </w:tcBorders>
                  <w:vAlign w:val="center"/>
                </w:tcPr>
                <w:p>
                  <w:pPr>
                    <w:adjustRightInd w:val="0"/>
                    <w:snapToGrid w:val="0"/>
                    <w:spacing w:line="300" w:lineRule="exact"/>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356.1</w:t>
                  </w:r>
                </w:p>
              </w:tc>
            </w:tr>
            <w:bookmarkEnd w:id="55"/>
            <w:bookmarkEnd w:id="57"/>
          </w:tbl>
          <w:p>
            <w:pPr>
              <w:pStyle w:val="55"/>
              <w:numPr>
                <w:ilvl w:val="1"/>
                <w:numId w:val="0"/>
              </w:numPr>
              <w:bidi w:val="0"/>
              <w:ind w:left="0" w:leftChars="0" w:firstLine="420" w:firstLineChars="0"/>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kern w:val="2"/>
                <w:sz w:val="24"/>
                <w:szCs w:val="24"/>
                <w:highlight w:val="none"/>
                <w:lang w:val="en-US" w:eastAsia="zh-CN" w:bidi="ar-SA"/>
              </w:rPr>
              <w:t>2</w:t>
            </w: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highlight w:val="none"/>
                <w:lang w:val="en-US" w:eastAsia="zh-CN"/>
              </w:rPr>
              <w:t>压裂液</w:t>
            </w:r>
          </w:p>
          <w:p>
            <w:pPr>
              <w:pStyle w:val="10"/>
              <w:bidi w:val="0"/>
              <w:rPr>
                <w:rFonts w:hint="default"/>
                <w:color w:val="auto"/>
                <w:highlight w:val="none"/>
                <w:lang w:val="en-US" w:eastAsia="zh-CN"/>
              </w:rPr>
            </w:pPr>
            <w:r>
              <w:rPr>
                <w:rFonts w:hint="default"/>
                <w:color w:val="auto"/>
                <w:highlight w:val="none"/>
                <w:lang w:val="en-US" w:eastAsia="zh-CN"/>
              </w:rPr>
              <w:t>本项目压裂液主要成分为</w:t>
            </w:r>
            <w:r>
              <w:rPr>
                <w:rFonts w:hint="eastAsia"/>
                <w:color w:val="auto"/>
                <w:highlight w:val="none"/>
                <w:lang w:val="en-US" w:eastAsia="zh-CN"/>
              </w:rPr>
              <w:t>水、</w:t>
            </w:r>
            <w:r>
              <w:rPr>
                <w:rFonts w:hint="default"/>
                <w:color w:val="auto"/>
                <w:highlight w:val="none"/>
                <w:lang w:val="en-US" w:eastAsia="zh-CN"/>
              </w:rPr>
              <w:t>羟丙基胍胶、氯化钾及过硫酸钠等，根据设计资料，压裂液使用量为1000m</w:t>
            </w:r>
            <w:r>
              <w:rPr>
                <w:rFonts w:hint="default"/>
                <w:color w:val="auto"/>
                <w:highlight w:val="none"/>
                <w:vertAlign w:val="superscript"/>
                <w:lang w:val="en-US" w:eastAsia="zh-CN"/>
              </w:rPr>
              <w:t>3</w:t>
            </w:r>
            <w:r>
              <w:rPr>
                <w:rFonts w:hint="eastAsia"/>
                <w:color w:val="auto"/>
                <w:highlight w:val="none"/>
                <w:vertAlign w:val="baseline"/>
                <w:lang w:val="en-US" w:eastAsia="zh-CN"/>
              </w:rPr>
              <w:t>，</w:t>
            </w:r>
            <w:r>
              <w:rPr>
                <w:rFonts w:hint="eastAsia"/>
                <w:color w:val="auto"/>
                <w:highlight w:val="none"/>
                <w:lang w:val="en-US" w:eastAsia="zh-CN"/>
              </w:rPr>
              <w:t>配置用水量约1000</w:t>
            </w:r>
            <w:r>
              <w:rPr>
                <w:rFonts w:hint="default"/>
                <w:color w:val="auto"/>
                <w:highlight w:val="none"/>
                <w:lang w:val="en-US" w:eastAsia="zh-CN"/>
              </w:rPr>
              <w:t>m</w:t>
            </w:r>
            <w:r>
              <w:rPr>
                <w:rFonts w:hint="default"/>
                <w:color w:val="auto"/>
                <w:highlight w:val="none"/>
                <w:vertAlign w:val="superscript"/>
                <w:lang w:val="en-US" w:eastAsia="zh-CN"/>
              </w:rPr>
              <w:t>3</w:t>
            </w:r>
            <w:r>
              <w:rPr>
                <w:rFonts w:hint="eastAsia"/>
                <w:color w:val="auto"/>
                <w:highlight w:val="none"/>
                <w:lang w:val="en-US" w:eastAsia="zh-CN"/>
              </w:rPr>
              <w:t>。</w:t>
            </w:r>
          </w:p>
          <w:p>
            <w:pPr>
              <w:pStyle w:val="55"/>
              <w:numPr>
                <w:ilvl w:val="1"/>
                <w:numId w:val="0"/>
              </w:numPr>
              <w:bidi w:val="0"/>
              <w:ind w:left="0" w:leftChars="0" w:firstLine="420" w:firstLineChars="0"/>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kern w:val="2"/>
                <w:sz w:val="24"/>
                <w:szCs w:val="24"/>
                <w:highlight w:val="none"/>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highlight w:val="none"/>
                <w:lang w:val="en-US" w:eastAsia="zh-CN"/>
              </w:rPr>
              <w:t>柴油</w:t>
            </w:r>
          </w:p>
          <w:p>
            <w:pPr>
              <w:pStyle w:val="10"/>
              <w:bidi w:val="0"/>
              <w:rPr>
                <w:rFonts w:hint="default"/>
                <w:color w:val="auto"/>
                <w:highlight w:val="none"/>
                <w:lang w:val="en-US" w:eastAsia="zh-CN"/>
              </w:rPr>
            </w:pPr>
            <w:r>
              <w:rPr>
                <w:rFonts w:hint="default"/>
                <w:color w:val="auto"/>
                <w:highlight w:val="none"/>
              </w:rPr>
              <w:t>钻井</w:t>
            </w:r>
            <w:r>
              <w:rPr>
                <w:rFonts w:hint="default"/>
                <w:color w:val="auto"/>
                <w:highlight w:val="none"/>
                <w:lang w:eastAsia="zh-CN"/>
              </w:rPr>
              <w:t>、</w:t>
            </w:r>
            <w:r>
              <w:rPr>
                <w:rFonts w:hint="default"/>
                <w:color w:val="auto"/>
                <w:highlight w:val="none"/>
                <w:lang w:val="en-US" w:eastAsia="zh-CN"/>
              </w:rPr>
              <w:t>试油</w:t>
            </w:r>
            <w:r>
              <w:rPr>
                <w:rFonts w:hint="default"/>
                <w:color w:val="auto"/>
                <w:highlight w:val="none"/>
              </w:rPr>
              <w:t>过程需使用柴油机和柴油发电机，消耗一定量的柴油。</w:t>
            </w:r>
            <w:r>
              <w:rPr>
                <w:rFonts w:hint="default"/>
                <w:color w:val="auto"/>
                <w:highlight w:val="none"/>
                <w:lang w:val="en-US" w:eastAsia="zh-CN"/>
              </w:rPr>
              <w:t>柴油</w:t>
            </w:r>
            <w:r>
              <w:rPr>
                <w:rFonts w:hint="eastAsia"/>
                <w:color w:val="auto"/>
                <w:highlight w:val="none"/>
                <w:lang w:val="en-US" w:eastAsia="zh-CN"/>
              </w:rPr>
              <w:t>使用专用罐车</w:t>
            </w:r>
            <w:r>
              <w:rPr>
                <w:rFonts w:hint="default"/>
                <w:color w:val="auto"/>
                <w:highlight w:val="none"/>
                <w:lang w:val="en-US" w:eastAsia="zh-CN"/>
              </w:rPr>
              <w:t>拉运至井场，使用</w:t>
            </w:r>
            <w:r>
              <w:rPr>
                <w:rFonts w:hint="eastAsia"/>
                <w:color w:val="auto"/>
                <w:highlight w:val="none"/>
                <w:lang w:val="en-US" w:eastAsia="zh-CN"/>
              </w:rPr>
              <w:t>一座30m</w:t>
            </w:r>
            <w:r>
              <w:rPr>
                <w:rFonts w:hint="eastAsia"/>
                <w:color w:val="auto"/>
                <w:highlight w:val="none"/>
                <w:vertAlign w:val="superscript"/>
                <w:lang w:val="en-US" w:eastAsia="zh-CN"/>
              </w:rPr>
              <w:t>3</w:t>
            </w:r>
            <w:r>
              <w:rPr>
                <w:rFonts w:hint="eastAsia"/>
                <w:color w:val="auto"/>
                <w:highlight w:val="none"/>
                <w:lang w:val="en-US" w:eastAsia="zh-CN"/>
              </w:rPr>
              <w:t>储罐储存，日常最大</w:t>
            </w:r>
            <w:r>
              <w:rPr>
                <w:rFonts w:hint="default"/>
                <w:color w:val="auto"/>
                <w:highlight w:val="none"/>
                <w:lang w:val="en-US" w:eastAsia="zh-CN"/>
              </w:rPr>
              <w:t>储存量为20t。钻井期柴油平均消耗为2t/d▪井，试油期柴油平均消耗0.2t/d▪井，由此计算得项目钻井、试油过程柴油消耗总量为</w:t>
            </w:r>
            <w:r>
              <w:rPr>
                <w:rFonts w:hint="eastAsia"/>
                <w:color w:val="auto"/>
                <w:highlight w:val="none"/>
                <w:lang w:val="en-US" w:eastAsia="zh-CN"/>
              </w:rPr>
              <w:t>140</w:t>
            </w:r>
            <w:r>
              <w:rPr>
                <w:rFonts w:hint="default"/>
                <w:color w:val="auto"/>
                <w:highlight w:val="none"/>
                <w:lang w:val="en-US" w:eastAsia="zh-CN"/>
              </w:rPr>
              <w:t>t。</w:t>
            </w:r>
          </w:p>
          <w:p>
            <w:pPr>
              <w:pStyle w:val="55"/>
              <w:numPr>
                <w:ilvl w:val="1"/>
                <w:numId w:val="0"/>
              </w:numPr>
              <w:bidi w:val="0"/>
              <w:ind w:left="0" w:leftChars="0" w:firstLine="420" w:firstLineChars="0"/>
              <w:rPr>
                <w:rFonts w:hint="default" w:ascii="Times New Roman" w:hAnsi="Times New Roman" w:cs="Times New Roman"/>
                <w:color w:val="auto"/>
                <w:highlight w:val="none"/>
              </w:rPr>
            </w:pPr>
            <w:r>
              <w:rPr>
                <w:rFonts w:hint="default" w:ascii="Times New Roman" w:hAnsi="Times New Roman" w:eastAsia="宋体" w:cs="Times New Roman"/>
                <w:color w:val="auto"/>
                <w:kern w:val="2"/>
                <w:sz w:val="24"/>
                <w:szCs w:val="24"/>
                <w:highlight w:val="none"/>
                <w:lang w:val="en-US" w:eastAsia="en-US" w:bidi="ar-SA"/>
              </w:rPr>
              <w:t>（</w:t>
            </w:r>
            <w:r>
              <w:rPr>
                <w:rFonts w:hint="default" w:ascii="Times New Roman" w:hAnsi="Times New Roman" w:cs="Times New Roman"/>
                <w:color w:val="auto"/>
                <w:kern w:val="2"/>
                <w:sz w:val="24"/>
                <w:szCs w:val="24"/>
                <w:highlight w:val="none"/>
                <w:lang w:val="en-US" w:eastAsia="zh-CN" w:bidi="ar-SA"/>
              </w:rPr>
              <w:t>4</w:t>
            </w:r>
            <w:r>
              <w:rPr>
                <w:rFonts w:hint="default" w:ascii="Times New Roman" w:hAnsi="Times New Roman" w:eastAsia="宋体" w:cs="Times New Roman"/>
                <w:color w:val="auto"/>
                <w:kern w:val="2"/>
                <w:sz w:val="24"/>
                <w:szCs w:val="24"/>
                <w:highlight w:val="none"/>
                <w:lang w:val="en-US" w:eastAsia="en-US" w:bidi="ar-SA"/>
              </w:rPr>
              <w:t>）</w:t>
            </w:r>
            <w:r>
              <w:rPr>
                <w:rFonts w:hint="default" w:ascii="Times New Roman" w:hAnsi="Times New Roman" w:cs="Times New Roman"/>
                <w:color w:val="auto"/>
                <w:highlight w:val="none"/>
                <w:lang w:val="en-US" w:eastAsia="zh-CN"/>
              </w:rPr>
              <w:t>洗井用水</w:t>
            </w:r>
          </w:p>
          <w:p>
            <w:pPr>
              <w:pStyle w:val="10"/>
              <w:bidi w:val="0"/>
              <w:rPr>
                <w:rFonts w:hint="eastAsia"/>
                <w:color w:val="auto"/>
                <w:highlight w:val="none"/>
                <w:lang w:val="en-US" w:eastAsia="zh-CN"/>
              </w:rPr>
            </w:pPr>
            <w:r>
              <w:rPr>
                <w:rFonts w:hint="default"/>
                <w:color w:val="auto"/>
                <w:highlight w:val="none"/>
                <w:lang w:val="en-US" w:eastAsia="zh-CN"/>
              </w:rPr>
              <w:t>根据设计资料，项目洗井用水量为300m</w:t>
            </w:r>
            <w:r>
              <w:rPr>
                <w:rFonts w:hint="default"/>
                <w:color w:val="auto"/>
                <w:highlight w:val="none"/>
                <w:vertAlign w:val="superscript"/>
                <w:lang w:val="en-US" w:eastAsia="zh-CN"/>
              </w:rPr>
              <w:t>3</w:t>
            </w:r>
            <w:r>
              <w:rPr>
                <w:rFonts w:hint="default"/>
                <w:color w:val="auto"/>
                <w:highlight w:val="none"/>
                <w:lang w:val="en-US" w:eastAsia="zh-CN"/>
              </w:rPr>
              <w:t>，从石西作业区拉运至井场</w:t>
            </w:r>
            <w:r>
              <w:rPr>
                <w:rFonts w:hint="eastAsia"/>
                <w:color w:val="auto"/>
                <w:highlight w:val="none"/>
                <w:lang w:val="en-US" w:eastAsia="zh-CN"/>
              </w:rPr>
              <w:t>。</w:t>
            </w:r>
          </w:p>
          <w:p>
            <w:pPr>
              <w:pStyle w:val="55"/>
              <w:numPr>
                <w:ilvl w:val="1"/>
                <w:numId w:val="0"/>
              </w:numPr>
              <w:bidi w:val="0"/>
              <w:ind w:left="0" w:leftChars="0" w:firstLine="420" w:firstLineChars="0"/>
              <w:rPr>
                <w:rFonts w:hint="default" w:ascii="Times New Roman" w:hAnsi="Times New Roman" w:cs="Times New Roman"/>
                <w:color w:val="auto"/>
                <w:highlight w:val="none"/>
              </w:rPr>
            </w:pPr>
            <w:r>
              <w:rPr>
                <w:rFonts w:hint="default" w:ascii="Times New Roman" w:hAnsi="Times New Roman" w:eastAsia="宋体" w:cs="Times New Roman"/>
                <w:color w:val="auto"/>
                <w:kern w:val="2"/>
                <w:sz w:val="24"/>
                <w:szCs w:val="24"/>
                <w:highlight w:val="none"/>
                <w:lang w:val="en-US" w:eastAsia="en-US" w:bidi="ar-SA"/>
              </w:rPr>
              <w:t>（</w:t>
            </w:r>
            <w:r>
              <w:rPr>
                <w:rFonts w:hint="default" w:ascii="Times New Roman" w:hAnsi="Times New Roman" w:cs="Times New Roman"/>
                <w:color w:val="auto"/>
                <w:kern w:val="2"/>
                <w:sz w:val="24"/>
                <w:szCs w:val="24"/>
                <w:highlight w:val="none"/>
                <w:lang w:val="en-US" w:eastAsia="zh-CN" w:bidi="ar-SA"/>
              </w:rPr>
              <w:t>5</w:t>
            </w:r>
            <w:r>
              <w:rPr>
                <w:rFonts w:hint="default" w:ascii="Times New Roman" w:hAnsi="Times New Roman" w:eastAsia="宋体" w:cs="Times New Roman"/>
                <w:color w:val="auto"/>
                <w:kern w:val="2"/>
                <w:sz w:val="24"/>
                <w:szCs w:val="24"/>
                <w:highlight w:val="none"/>
                <w:lang w:val="en-US" w:eastAsia="en-US" w:bidi="ar-SA"/>
              </w:rPr>
              <w:t>）</w:t>
            </w:r>
            <w:r>
              <w:rPr>
                <w:rFonts w:hint="default" w:ascii="Times New Roman" w:hAnsi="Times New Roman" w:cs="Times New Roman"/>
                <w:color w:val="auto"/>
                <w:highlight w:val="none"/>
                <w:lang w:val="en-US" w:eastAsia="zh-CN"/>
              </w:rPr>
              <w:t>生活用水</w:t>
            </w:r>
          </w:p>
          <w:p>
            <w:pPr>
              <w:pStyle w:val="10"/>
              <w:bidi w:val="0"/>
              <w:rPr>
                <w:rFonts w:hint="default"/>
                <w:color w:val="auto"/>
                <w:highlight w:val="none"/>
                <w:lang w:val="en-US" w:eastAsia="zh-CN"/>
              </w:rPr>
            </w:pPr>
            <w:r>
              <w:rPr>
                <w:rFonts w:hint="default"/>
                <w:color w:val="auto"/>
                <w:highlight w:val="none"/>
                <w:lang w:val="en-US" w:eastAsia="zh-CN"/>
              </w:rPr>
              <w:t>本项目生活用水参照</w:t>
            </w:r>
            <w:r>
              <w:rPr>
                <w:rFonts w:hint="default"/>
                <w:color w:val="auto"/>
                <w:highlight w:val="none"/>
              </w:rPr>
              <w:t>《</w:t>
            </w:r>
            <w:r>
              <w:rPr>
                <w:rFonts w:hint="default"/>
                <w:color w:val="auto"/>
                <w:highlight w:val="none"/>
                <w:lang w:eastAsia="zh-CN"/>
              </w:rPr>
              <w:t>农村生活污水处理技术规范</w:t>
            </w:r>
            <w:r>
              <w:rPr>
                <w:rFonts w:hint="default"/>
                <w:color w:val="auto"/>
                <w:highlight w:val="none"/>
              </w:rPr>
              <w:t>》（DB65</w:t>
            </w:r>
            <w:r>
              <w:rPr>
                <w:rFonts w:hint="default"/>
                <w:color w:val="auto"/>
                <w:highlight w:val="none"/>
                <w:lang w:val="en-US" w:eastAsia="zh-CN"/>
              </w:rPr>
              <w:t>/</w:t>
            </w:r>
            <w:r>
              <w:rPr>
                <w:rFonts w:hint="default"/>
                <w:color w:val="auto"/>
                <w:highlight w:val="none"/>
              </w:rPr>
              <w:t>T4346—2021）</w:t>
            </w:r>
            <w:r>
              <w:rPr>
                <w:rFonts w:hint="default"/>
                <w:color w:val="auto"/>
                <w:highlight w:val="none"/>
                <w:lang w:val="en-US" w:eastAsia="zh-CN"/>
              </w:rPr>
              <w:t>附录A北疆伊阿塔区用水定额</w:t>
            </w:r>
            <w:r>
              <w:rPr>
                <w:rFonts w:hint="default"/>
                <w:color w:val="auto"/>
                <w:highlight w:val="none"/>
              </w:rPr>
              <w:t>，</w:t>
            </w:r>
            <w:r>
              <w:rPr>
                <w:rFonts w:hint="default"/>
                <w:color w:val="auto"/>
                <w:highlight w:val="none"/>
                <w:lang w:val="en-US" w:eastAsia="zh-CN"/>
              </w:rPr>
              <w:t>生活用水系数为</w:t>
            </w:r>
            <w:r>
              <w:rPr>
                <w:rFonts w:hint="default"/>
                <w:color w:val="auto"/>
                <w:highlight w:val="none"/>
              </w:rPr>
              <w:t>20L/</w:t>
            </w:r>
            <w:r>
              <w:rPr>
                <w:rFonts w:hint="default"/>
                <w:color w:val="auto"/>
                <w:highlight w:val="none"/>
                <w:lang w:val="en-US" w:eastAsia="zh-CN"/>
              </w:rPr>
              <w:t>人▪</w:t>
            </w:r>
            <w:r>
              <w:rPr>
                <w:rFonts w:hint="default"/>
                <w:color w:val="auto"/>
                <w:highlight w:val="none"/>
              </w:rPr>
              <w:t>d，</w:t>
            </w:r>
            <w:r>
              <w:rPr>
                <w:rFonts w:hint="default"/>
                <w:color w:val="auto"/>
                <w:highlight w:val="none"/>
                <w:lang w:val="en-US" w:eastAsia="zh-CN"/>
              </w:rPr>
              <w:t>生活营地使用时间为</w:t>
            </w:r>
            <w:r>
              <w:rPr>
                <w:rFonts w:hint="eastAsia"/>
                <w:color w:val="auto"/>
                <w:highlight w:val="none"/>
                <w:lang w:val="en-US" w:eastAsia="zh-CN"/>
              </w:rPr>
              <w:t>52</w:t>
            </w:r>
            <w:r>
              <w:rPr>
                <w:rFonts w:hint="default"/>
                <w:color w:val="auto"/>
                <w:highlight w:val="none"/>
                <w:lang w:val="en-US" w:eastAsia="zh-CN"/>
              </w:rPr>
              <w:t>d，施工人数为35人，则</w:t>
            </w:r>
            <w:r>
              <w:rPr>
                <w:rFonts w:hint="default"/>
                <w:color w:val="auto"/>
                <w:highlight w:val="none"/>
              </w:rPr>
              <w:t>生活用水量约为</w:t>
            </w:r>
            <w:r>
              <w:rPr>
                <w:rFonts w:hint="eastAsia"/>
                <w:color w:val="auto"/>
                <w:highlight w:val="none"/>
                <w:lang w:val="en-US" w:eastAsia="zh-CN"/>
              </w:rPr>
              <w:t>36.4</w:t>
            </w:r>
            <w:r>
              <w:rPr>
                <w:rFonts w:hint="default"/>
                <w:color w:val="auto"/>
                <w:highlight w:val="none"/>
                <w:lang w:eastAsia="zh-CN"/>
              </w:rPr>
              <w:t>m</w:t>
            </w:r>
            <w:r>
              <w:rPr>
                <w:rFonts w:hint="default"/>
                <w:color w:val="auto"/>
                <w:highlight w:val="none"/>
                <w:vertAlign w:val="superscript"/>
                <w:lang w:eastAsia="zh-CN"/>
              </w:rPr>
              <w:t>3</w:t>
            </w:r>
            <w:r>
              <w:rPr>
                <w:rFonts w:hint="default"/>
                <w:color w:val="auto"/>
                <w:highlight w:val="none"/>
                <w:lang w:val="en-US" w:eastAsia="zh-CN"/>
              </w:rPr>
              <w:t>。采用罐车从石西作业区拉运至生活营地水罐储存。</w:t>
            </w:r>
          </w:p>
          <w:p>
            <w:pPr>
              <w:pStyle w:val="54"/>
              <w:bidi w:val="0"/>
              <w:rPr>
                <w:rFonts w:hint="eastAsia"/>
                <w:color w:val="auto"/>
                <w:lang w:val="en-US" w:eastAsia="zh-CN"/>
              </w:rPr>
            </w:pPr>
            <w:r>
              <w:rPr>
                <w:rFonts w:hint="eastAsia"/>
                <w:color w:val="auto"/>
                <w:lang w:val="en-US" w:eastAsia="zh-CN"/>
              </w:rPr>
              <w:t>公用工程</w:t>
            </w:r>
          </w:p>
          <w:p>
            <w:pPr>
              <w:pStyle w:val="10"/>
              <w:numPr>
                <w:ilvl w:val="0"/>
                <w:numId w:val="10"/>
              </w:numPr>
              <w:bidi w:val="0"/>
              <w:rPr>
                <w:rFonts w:hint="eastAsia"/>
                <w:color w:val="auto"/>
                <w:highlight w:val="none"/>
                <w:lang w:val="en-US" w:eastAsia="zh-CN"/>
              </w:rPr>
            </w:pPr>
            <w:r>
              <w:rPr>
                <w:rFonts w:hint="eastAsia"/>
                <w:color w:val="auto"/>
                <w:highlight w:val="none"/>
                <w:lang w:val="en-US" w:eastAsia="zh-CN"/>
              </w:rPr>
              <w:t>给水</w:t>
            </w:r>
          </w:p>
          <w:p>
            <w:pPr>
              <w:pStyle w:val="10"/>
              <w:bidi w:val="0"/>
              <w:rPr>
                <w:rFonts w:hint="default"/>
                <w:color w:val="auto"/>
                <w:highlight w:val="none"/>
                <w:lang w:val="en-US" w:eastAsia="zh-CN"/>
              </w:rPr>
            </w:pPr>
            <w:r>
              <w:rPr>
                <w:rFonts w:hint="eastAsia"/>
                <w:color w:val="auto"/>
                <w:highlight w:val="none"/>
                <w:lang w:val="en-US" w:eastAsia="zh-CN"/>
              </w:rPr>
              <w:t>项目生产和生活用水由</w:t>
            </w:r>
            <w:r>
              <w:rPr>
                <w:rFonts w:hint="default"/>
                <w:color w:val="auto"/>
                <w:highlight w:val="none"/>
                <w:lang w:val="en-US" w:eastAsia="zh-CN"/>
              </w:rPr>
              <w:t>石西作业区拉运至井场</w:t>
            </w:r>
            <w:r>
              <w:rPr>
                <w:rFonts w:hint="eastAsia"/>
                <w:color w:val="auto"/>
                <w:highlight w:val="none"/>
                <w:lang w:val="en-US" w:eastAsia="zh-CN"/>
              </w:rPr>
              <w:t>。根据前文，项目总用水量为1859.7m³。</w:t>
            </w:r>
          </w:p>
          <w:p>
            <w:pPr>
              <w:pStyle w:val="10"/>
              <w:numPr>
                <w:ilvl w:val="0"/>
                <w:numId w:val="10"/>
              </w:numPr>
              <w:bidi w:val="0"/>
              <w:rPr>
                <w:rFonts w:hint="default"/>
                <w:color w:val="auto"/>
                <w:highlight w:val="none"/>
                <w:lang w:val="en-US" w:eastAsia="zh-CN"/>
              </w:rPr>
            </w:pPr>
            <w:r>
              <w:rPr>
                <w:rFonts w:hint="eastAsia"/>
                <w:color w:val="auto"/>
                <w:highlight w:val="none"/>
                <w:lang w:val="en-US" w:eastAsia="zh-CN"/>
              </w:rPr>
              <w:t>排水</w:t>
            </w:r>
          </w:p>
          <w:p>
            <w:pPr>
              <w:pStyle w:val="10"/>
              <w:bidi w:val="0"/>
              <w:rPr>
                <w:rFonts w:hint="eastAsia"/>
                <w:color w:val="auto"/>
                <w:lang w:val="en-US" w:eastAsia="zh-CN"/>
              </w:rPr>
            </w:pPr>
            <w:r>
              <w:rPr>
                <w:rFonts w:hint="eastAsia"/>
                <w:color w:val="auto"/>
                <w:lang w:val="en-US" w:eastAsia="zh-CN"/>
              </w:rPr>
              <w:t>①洗井废水</w:t>
            </w:r>
          </w:p>
          <w:p>
            <w:pPr>
              <w:pStyle w:val="10"/>
              <w:bidi w:val="0"/>
              <w:rPr>
                <w:rFonts w:hint="eastAsia" w:eastAsia="宋体"/>
                <w:color w:val="auto"/>
                <w:lang w:val="en-US" w:eastAsia="zh-CN"/>
              </w:rPr>
            </w:pPr>
            <w:r>
              <w:rPr>
                <w:rFonts w:hint="default" w:ascii="Times New Roman" w:hAnsi="Times New Roman" w:cs="Times New Roman"/>
                <w:b w:val="0"/>
                <w:bCs w:val="0"/>
                <w:color w:val="auto"/>
              </w:rPr>
              <w:t>洗井用水量300m</w:t>
            </w:r>
            <w:r>
              <w:rPr>
                <w:rFonts w:hint="default" w:ascii="Times New Roman" w:hAnsi="Times New Roman" w:cs="Times New Roman"/>
                <w:b w:val="0"/>
                <w:bCs w:val="0"/>
                <w:color w:val="auto"/>
                <w:vertAlign w:val="superscript"/>
              </w:rPr>
              <w:t>3</w:t>
            </w:r>
            <w:r>
              <w:rPr>
                <w:rFonts w:hint="default" w:ascii="Times New Roman" w:hAnsi="Times New Roman" w:cs="Times New Roman"/>
                <w:b w:val="0"/>
                <w:bCs w:val="0"/>
                <w:color w:val="auto"/>
              </w:rPr>
              <w:t>，设备工艺损耗</w:t>
            </w:r>
            <w:r>
              <w:rPr>
                <w:rFonts w:hint="eastAsia" w:ascii="Times New Roman" w:hAnsi="Times New Roman" w:cs="Times New Roman"/>
                <w:b w:val="0"/>
                <w:bCs w:val="0"/>
                <w:color w:val="auto"/>
                <w:lang w:val="en-US" w:eastAsia="zh-CN"/>
              </w:rPr>
              <w:t>约5%（15m³），洗井完成后洗井废水</w:t>
            </w:r>
            <w:r>
              <w:rPr>
                <w:rFonts w:hint="default" w:ascii="Times New Roman" w:hAnsi="Times New Roman" w:cs="Times New Roman"/>
                <w:b w:val="0"/>
                <w:bCs w:val="0"/>
                <w:color w:val="auto"/>
              </w:rPr>
              <w:t>返回井场设置的储罐内，洗井废水产生量为</w:t>
            </w:r>
            <w:r>
              <w:rPr>
                <w:rFonts w:hint="eastAsia" w:ascii="Times New Roman" w:hAnsi="Times New Roman" w:cs="Times New Roman"/>
                <w:b w:val="0"/>
                <w:bCs w:val="0"/>
                <w:color w:val="auto"/>
                <w:highlight w:val="none"/>
                <w:lang w:val="en-US" w:eastAsia="zh-CN"/>
              </w:rPr>
              <w:t>285</w:t>
            </w:r>
            <w:r>
              <w:rPr>
                <w:rFonts w:hint="default" w:ascii="Times New Roman" w:hAnsi="Times New Roman" w:cs="Times New Roman"/>
                <w:b w:val="0"/>
                <w:bCs w:val="0"/>
                <w:color w:val="auto"/>
                <w:highlight w:val="none"/>
              </w:rPr>
              <w:t>m</w:t>
            </w:r>
            <w:r>
              <w:rPr>
                <w:rFonts w:hint="default" w:ascii="Times New Roman" w:hAnsi="Times New Roman" w:cs="Times New Roman"/>
                <w:b w:val="0"/>
                <w:bCs w:val="0"/>
                <w:color w:val="auto"/>
                <w:highlight w:val="none"/>
                <w:vertAlign w:val="superscript"/>
              </w:rPr>
              <w:t>3</w:t>
            </w:r>
            <w:r>
              <w:rPr>
                <w:rFonts w:hint="eastAsia" w:ascii="Times New Roman" w:hAnsi="Times New Roman" w:cs="Times New Roman"/>
                <w:b w:val="0"/>
                <w:bCs w:val="0"/>
                <w:color w:val="auto"/>
                <w:highlight w:val="none"/>
                <w:vertAlign w:val="baseline"/>
                <w:lang w:eastAsia="zh-CN"/>
              </w:rPr>
              <w:t>，</w:t>
            </w:r>
            <w:r>
              <w:rPr>
                <w:rFonts w:hint="eastAsia" w:ascii="Times New Roman" w:hAnsi="Times New Roman" w:cs="Times New Roman"/>
                <w:b w:val="0"/>
                <w:bCs w:val="0"/>
                <w:color w:val="auto"/>
                <w:vertAlign w:val="baseline"/>
                <w:lang w:val="en-US" w:eastAsia="zh-CN"/>
              </w:rPr>
              <w:t>进罐拉运至</w:t>
            </w:r>
            <w:r>
              <w:rPr>
                <w:rFonts w:hint="default" w:ascii="Times New Roman" w:hAnsi="Times New Roman" w:cs="Times New Roman"/>
                <w:b w:val="0"/>
                <w:bCs w:val="0"/>
                <w:color w:val="auto"/>
              </w:rPr>
              <w:t>石西集中处理站采出水处理系统处理</w:t>
            </w:r>
          </w:p>
          <w:p>
            <w:pPr>
              <w:pStyle w:val="10"/>
              <w:bidi w:val="0"/>
              <w:rPr>
                <w:rFonts w:hint="eastAsia"/>
                <w:color w:val="auto"/>
                <w:lang w:val="en-US" w:eastAsia="zh-CN"/>
              </w:rPr>
            </w:pPr>
            <w:r>
              <w:rPr>
                <w:rFonts w:hint="eastAsia"/>
                <w:color w:val="auto"/>
                <w:lang w:val="en-US" w:eastAsia="zh-CN"/>
              </w:rPr>
              <w:t>②压裂返排液</w:t>
            </w:r>
          </w:p>
          <w:p>
            <w:pPr>
              <w:pStyle w:val="10"/>
              <w:bidi w:val="0"/>
              <w:rPr>
                <w:rFonts w:hint="eastAsia" w:eastAsia="宋体"/>
                <w:color w:val="auto"/>
                <w:lang w:val="en-US" w:eastAsia="zh-CN"/>
              </w:rPr>
            </w:pPr>
            <w:r>
              <w:rPr>
                <w:rFonts w:hint="default" w:ascii="Times New Roman" w:hAnsi="Times New Roman" w:cs="Times New Roman"/>
                <w:b w:val="0"/>
                <w:bCs w:val="0"/>
                <w:color w:val="auto"/>
              </w:rPr>
              <w:t>压裂期间使用压裂液约</w:t>
            </w:r>
            <w:r>
              <w:rPr>
                <w:rFonts w:hint="default" w:ascii="Times New Roman" w:hAnsi="Times New Roman" w:cs="Times New Roman"/>
                <w:b w:val="0"/>
                <w:bCs w:val="0"/>
                <w:color w:val="auto"/>
                <w:lang w:val="en-US" w:eastAsia="zh-CN"/>
              </w:rPr>
              <w:t>10</w:t>
            </w:r>
            <w:r>
              <w:rPr>
                <w:rFonts w:hint="default" w:ascii="Times New Roman" w:hAnsi="Times New Roman" w:cs="Times New Roman"/>
                <w:b w:val="0"/>
                <w:bCs w:val="0"/>
                <w:color w:val="auto"/>
              </w:rPr>
              <w:t>00m</w:t>
            </w:r>
            <w:r>
              <w:rPr>
                <w:rFonts w:hint="default" w:ascii="Times New Roman" w:hAnsi="Times New Roman" w:cs="Times New Roman"/>
                <w:b w:val="0"/>
                <w:bCs w:val="0"/>
                <w:color w:val="auto"/>
                <w:vertAlign w:val="superscript"/>
              </w:rPr>
              <w:t>3</w:t>
            </w:r>
            <w:r>
              <w:rPr>
                <w:rFonts w:hint="default" w:ascii="Times New Roman" w:hAnsi="Times New Roman" w:cs="Times New Roman"/>
                <w:b w:val="0"/>
                <w:bCs w:val="0"/>
                <w:color w:val="auto"/>
              </w:rPr>
              <w:t>，根据同类项目施工数据可知，压裂液返排量约20%～50%，取最大值50%计算，则压裂返排液产生量约</w:t>
            </w:r>
            <w:r>
              <w:rPr>
                <w:rFonts w:hint="default" w:ascii="Times New Roman" w:hAnsi="Times New Roman" w:cs="Times New Roman"/>
                <w:b w:val="0"/>
                <w:bCs w:val="0"/>
                <w:color w:val="auto"/>
                <w:lang w:val="en-US" w:eastAsia="zh-CN"/>
              </w:rPr>
              <w:t>5</w:t>
            </w:r>
            <w:r>
              <w:rPr>
                <w:rFonts w:hint="default" w:ascii="Times New Roman" w:hAnsi="Times New Roman" w:cs="Times New Roman"/>
                <w:b w:val="0"/>
                <w:bCs w:val="0"/>
                <w:color w:val="auto"/>
              </w:rPr>
              <w:t>00m</w:t>
            </w:r>
            <w:r>
              <w:rPr>
                <w:rFonts w:hint="default" w:ascii="Times New Roman" w:hAnsi="Times New Roman" w:cs="Times New Roman"/>
                <w:b w:val="0"/>
                <w:bCs w:val="0"/>
                <w:color w:val="auto"/>
                <w:vertAlign w:val="superscript"/>
              </w:rPr>
              <w:t>3</w:t>
            </w:r>
            <w:r>
              <w:rPr>
                <w:rFonts w:hint="eastAsia" w:ascii="Times New Roman" w:hAnsi="Times New Roman" w:cs="Times New Roman"/>
                <w:b w:val="0"/>
                <w:bCs w:val="0"/>
                <w:color w:val="auto"/>
                <w:vertAlign w:val="baseline"/>
                <w:lang w:eastAsia="zh-CN"/>
              </w:rPr>
              <w:t>，</w:t>
            </w:r>
            <w:r>
              <w:rPr>
                <w:rFonts w:hint="eastAsia" w:ascii="Times New Roman" w:hAnsi="Times New Roman" w:cs="Times New Roman"/>
                <w:b w:val="0"/>
                <w:bCs w:val="0"/>
                <w:color w:val="auto"/>
                <w:vertAlign w:val="baseline"/>
                <w:lang w:val="en-US" w:eastAsia="zh-CN"/>
              </w:rPr>
              <w:t>进罐拉运至</w:t>
            </w:r>
            <w:r>
              <w:rPr>
                <w:rFonts w:hint="default" w:ascii="Times New Roman" w:hAnsi="Times New Roman" w:cs="Times New Roman"/>
                <w:b w:val="0"/>
                <w:bCs w:val="0"/>
                <w:color w:val="auto"/>
              </w:rPr>
              <w:t>石西集中处理站采出水处理系统处理</w:t>
            </w:r>
            <w:r>
              <w:rPr>
                <w:rFonts w:hint="eastAsia" w:ascii="Times New Roman" w:hAnsi="Times New Roman" w:cs="Times New Roman"/>
                <w:b w:val="0"/>
                <w:bCs w:val="0"/>
                <w:color w:val="auto"/>
                <w:lang w:eastAsia="zh-CN"/>
              </w:rPr>
              <w:t>。</w:t>
            </w:r>
          </w:p>
          <w:p>
            <w:pPr>
              <w:widowControl/>
              <w:bidi w:val="0"/>
              <w:snapToGrid w:val="0"/>
              <w:spacing w:line="500" w:lineRule="exact"/>
              <w:ind w:firstLine="480" w:firstLineChars="200"/>
              <w:jc w:val="both"/>
              <w:rPr>
                <w:rFonts w:hint="default" w:ascii="Times New Roman" w:hAnsi="Times New Roman" w:eastAsia="宋体" w:cs="Times New Roman"/>
                <w:color w:val="auto"/>
                <w:kern w:val="0"/>
                <w:sz w:val="24"/>
                <w:szCs w:val="24"/>
                <w:highlight w:val="none"/>
                <w:lang w:val="en-US" w:eastAsia="zh-CN" w:bidi="ar-SA"/>
              </w:rPr>
            </w:pPr>
            <w:r>
              <w:rPr>
                <w:rFonts w:hint="eastAsia" w:ascii="Times New Roman" w:hAnsi="Times New Roman" w:eastAsia="宋体" w:cs="Times New Roman"/>
                <w:color w:val="auto"/>
                <w:kern w:val="0"/>
                <w:sz w:val="24"/>
                <w:szCs w:val="24"/>
                <w:highlight w:val="none"/>
                <w:lang w:val="en-US" w:eastAsia="zh-CN" w:bidi="ar-SA"/>
              </w:rPr>
              <w:t>③生活污水</w:t>
            </w:r>
          </w:p>
          <w:p>
            <w:pPr>
              <w:pStyle w:val="10"/>
              <w:bidi w:val="0"/>
              <w:rPr>
                <w:rFonts w:hint="eastAsia" w:ascii="Times New Roman" w:hAnsi="Times New Roman" w:cs="Times New Roman"/>
                <w:b w:val="0"/>
                <w:bCs w:val="0"/>
                <w:color w:val="auto"/>
                <w:lang w:eastAsia="zh-CN"/>
              </w:rPr>
            </w:pPr>
            <w:r>
              <w:rPr>
                <w:rFonts w:hint="default" w:ascii="Times New Roman" w:hAnsi="Times New Roman" w:eastAsia="宋体" w:cs="Times New Roman"/>
                <w:b w:val="0"/>
                <w:bCs w:val="0"/>
                <w:color w:val="auto"/>
                <w:kern w:val="0"/>
                <w:sz w:val="24"/>
                <w:szCs w:val="24"/>
                <w:lang w:val="en-US" w:eastAsia="zh-CN" w:bidi="ar-SA"/>
              </w:rPr>
              <w:t>施工期生活用水总量约为</w:t>
            </w:r>
            <w:r>
              <w:rPr>
                <w:rFonts w:hint="eastAsia" w:ascii="Times New Roman" w:hAnsi="Times New Roman" w:eastAsia="宋体" w:cs="Times New Roman"/>
                <w:b w:val="0"/>
                <w:bCs w:val="0"/>
                <w:color w:val="auto"/>
                <w:kern w:val="0"/>
                <w:sz w:val="24"/>
                <w:szCs w:val="24"/>
                <w:lang w:val="en-US" w:eastAsia="zh-CN" w:bidi="ar-SA"/>
              </w:rPr>
              <w:t>36.4</w:t>
            </w:r>
            <w:r>
              <w:rPr>
                <w:rFonts w:hint="default" w:ascii="Times New Roman" w:hAnsi="Times New Roman" w:eastAsia="宋体" w:cs="Times New Roman"/>
                <w:b w:val="0"/>
                <w:bCs w:val="0"/>
                <w:color w:val="auto"/>
                <w:kern w:val="0"/>
                <w:sz w:val="24"/>
                <w:szCs w:val="24"/>
                <w:lang w:val="en-US" w:eastAsia="zh-CN" w:bidi="ar-SA"/>
              </w:rPr>
              <w:t>m</w:t>
            </w:r>
            <w:r>
              <w:rPr>
                <w:rFonts w:hint="default" w:ascii="Times New Roman" w:hAnsi="Times New Roman" w:eastAsia="宋体" w:cs="Times New Roman"/>
                <w:b w:val="0"/>
                <w:bCs w:val="0"/>
                <w:color w:val="auto"/>
                <w:kern w:val="0"/>
                <w:sz w:val="24"/>
                <w:szCs w:val="24"/>
                <w:vertAlign w:val="superscript"/>
                <w:lang w:val="en-US" w:eastAsia="zh-CN" w:bidi="ar-SA"/>
              </w:rPr>
              <w:t>3</w:t>
            </w:r>
            <w:r>
              <w:rPr>
                <w:rFonts w:hint="default" w:ascii="Times New Roman" w:hAnsi="Times New Roman" w:eastAsia="宋体" w:cs="Times New Roman"/>
                <w:b w:val="0"/>
                <w:bCs w:val="0"/>
                <w:color w:val="auto"/>
                <w:kern w:val="0"/>
                <w:sz w:val="24"/>
                <w:szCs w:val="24"/>
                <w:lang w:val="en-US" w:eastAsia="zh-CN" w:bidi="ar-SA"/>
              </w:rPr>
              <w:t>，排水系数取0.8，则生活污水产生量约为</w:t>
            </w:r>
            <w:r>
              <w:rPr>
                <w:rFonts w:hint="eastAsia" w:ascii="Times New Roman" w:hAnsi="Times New Roman" w:eastAsia="宋体" w:cs="Times New Roman"/>
                <w:b w:val="0"/>
                <w:bCs w:val="0"/>
                <w:color w:val="auto"/>
                <w:kern w:val="0"/>
                <w:sz w:val="24"/>
                <w:szCs w:val="24"/>
                <w:lang w:val="en-US" w:eastAsia="zh-CN" w:bidi="ar-SA"/>
              </w:rPr>
              <w:t>29.12</w:t>
            </w:r>
            <w:r>
              <w:rPr>
                <w:rFonts w:hint="default" w:ascii="Times New Roman" w:hAnsi="Times New Roman" w:eastAsia="宋体" w:cs="Times New Roman"/>
                <w:b w:val="0"/>
                <w:bCs w:val="0"/>
                <w:color w:val="auto"/>
                <w:kern w:val="0"/>
                <w:sz w:val="24"/>
                <w:szCs w:val="24"/>
                <w:lang w:val="en-US" w:eastAsia="zh-CN" w:bidi="ar-SA"/>
              </w:rPr>
              <w:t>m</w:t>
            </w:r>
            <w:r>
              <w:rPr>
                <w:rFonts w:hint="default" w:ascii="Times New Roman" w:hAnsi="Times New Roman" w:eastAsia="宋体" w:cs="Times New Roman"/>
                <w:b w:val="0"/>
                <w:bCs w:val="0"/>
                <w:color w:val="auto"/>
                <w:kern w:val="0"/>
                <w:sz w:val="24"/>
                <w:szCs w:val="24"/>
                <w:vertAlign w:val="superscript"/>
                <w:lang w:val="en-US" w:eastAsia="zh-CN" w:bidi="ar-SA"/>
              </w:rPr>
              <w:t>3</w:t>
            </w:r>
            <w:r>
              <w:rPr>
                <w:rFonts w:hint="default" w:ascii="Times New Roman" w:hAnsi="Times New Roman" w:eastAsia="宋体" w:cs="Times New Roman"/>
                <w:b w:val="0"/>
                <w:bCs w:val="0"/>
                <w:color w:val="auto"/>
                <w:kern w:val="0"/>
                <w:sz w:val="24"/>
                <w:szCs w:val="24"/>
                <w:lang w:val="en-US" w:eastAsia="zh-CN" w:bidi="ar-SA"/>
              </w:rPr>
              <w:t>。</w:t>
            </w:r>
            <w:r>
              <w:rPr>
                <w:rFonts w:hint="eastAsia" w:ascii="Times New Roman" w:hAnsi="Times New Roman" w:eastAsia="宋体" w:cs="Times New Roman"/>
                <w:b w:val="0"/>
                <w:bCs w:val="0"/>
                <w:color w:val="auto"/>
                <w:kern w:val="0"/>
                <w:sz w:val="24"/>
                <w:szCs w:val="24"/>
                <w:lang w:val="en-US" w:eastAsia="zh-CN" w:bidi="ar-SA"/>
              </w:rPr>
              <w:t>排入生活营地防渗收集池，拉运至</w:t>
            </w:r>
            <w:r>
              <w:rPr>
                <w:rFonts w:hint="eastAsia" w:cs="Times New Roman"/>
                <w:b w:val="0"/>
                <w:bCs w:val="0"/>
                <w:color w:val="auto"/>
                <w:lang w:eastAsia="zh-CN"/>
              </w:rPr>
              <w:t>呼图壁县丰泉污水处理厂</w:t>
            </w:r>
            <w:r>
              <w:rPr>
                <w:rFonts w:hint="default" w:ascii="Times New Roman" w:hAnsi="Times New Roman" w:cs="Times New Roman"/>
                <w:b w:val="0"/>
                <w:bCs w:val="0"/>
                <w:color w:val="auto"/>
              </w:rPr>
              <w:t>处理</w:t>
            </w:r>
            <w:r>
              <w:rPr>
                <w:rFonts w:hint="eastAsia" w:ascii="Times New Roman" w:hAnsi="Times New Roman" w:cs="Times New Roman"/>
                <w:b w:val="0"/>
                <w:bCs w:val="0"/>
                <w:color w:val="auto"/>
                <w:lang w:eastAsia="zh-CN"/>
              </w:rPr>
              <w:t>。</w:t>
            </w:r>
          </w:p>
          <w:p>
            <w:pPr>
              <w:pStyle w:val="10"/>
              <w:numPr>
                <w:ilvl w:val="0"/>
                <w:numId w:val="10"/>
              </w:numPr>
              <w:bidi w:val="0"/>
              <w:rPr>
                <w:rFonts w:hint="default"/>
                <w:color w:val="auto"/>
                <w:highlight w:val="none"/>
                <w:lang w:val="en-US" w:eastAsia="zh-CN"/>
              </w:rPr>
            </w:pPr>
            <w:r>
              <w:rPr>
                <w:rFonts w:hint="eastAsia"/>
                <w:color w:val="auto"/>
                <w:highlight w:val="none"/>
                <w:lang w:val="en-US" w:eastAsia="zh-CN"/>
              </w:rPr>
              <w:t>供配电</w:t>
            </w:r>
          </w:p>
          <w:p>
            <w:pPr>
              <w:pStyle w:val="10"/>
              <w:bidi w:val="0"/>
              <w:rPr>
                <w:rFonts w:hint="default"/>
                <w:color w:val="auto"/>
                <w:lang w:val="en-US" w:eastAsia="zh-CN"/>
              </w:rPr>
            </w:pPr>
            <w:r>
              <w:rPr>
                <w:rFonts w:hint="eastAsia"/>
                <w:color w:val="auto"/>
                <w:lang w:val="en-US" w:eastAsia="zh-CN"/>
              </w:rPr>
              <w:t>井场使用柴油发电机供电。</w:t>
            </w:r>
          </w:p>
          <w:p>
            <w:pPr>
              <w:pStyle w:val="54"/>
              <w:bidi w:val="0"/>
              <w:rPr>
                <w:rFonts w:hint="default"/>
                <w:color w:val="auto"/>
                <w:lang w:val="en-US" w:eastAsia="zh-CN"/>
              </w:rPr>
            </w:pPr>
            <w:r>
              <w:rPr>
                <w:rFonts w:hint="eastAsia"/>
                <w:color w:val="auto"/>
                <w:lang w:val="en-US" w:eastAsia="zh-CN"/>
              </w:rPr>
              <w:t>项目水平衡</w:t>
            </w:r>
          </w:p>
          <w:p>
            <w:pPr>
              <w:pStyle w:val="10"/>
              <w:bidi w:val="0"/>
              <w:rPr>
                <w:rFonts w:hint="default" w:ascii="Times New Roman" w:hAnsi="Times New Roman" w:eastAsia="宋体" w:cs="Times New Roman"/>
                <w:color w:val="auto"/>
                <w:kern w:val="0"/>
                <w:sz w:val="24"/>
                <w:szCs w:val="24"/>
                <w:highlight w:val="none"/>
                <w:lang w:val="en-US" w:eastAsia="zh-CN" w:bidi="ar-SA"/>
              </w:rPr>
            </w:pPr>
            <w:r>
              <w:rPr>
                <w:rFonts w:hint="eastAsia" w:cs="Times New Roman"/>
                <w:color w:val="auto"/>
                <w:lang w:val="en-US" w:eastAsia="zh-CN"/>
              </w:rPr>
              <w:t>根据用水量及排水情况计算结果，项目水平衡情况见图2-4</w:t>
            </w:r>
            <w:r>
              <w:rPr>
                <w:rFonts w:hint="default" w:ascii="Times New Roman" w:hAnsi="Times New Roman" w:cs="Times New Roman"/>
                <w:color w:val="auto"/>
              </w:rPr>
              <w:t>。</w:t>
            </w:r>
          </w:p>
          <w:p>
            <w:pPr>
              <w:widowControl/>
              <w:bidi w:val="0"/>
              <w:snapToGrid w:val="0"/>
              <w:spacing w:line="500" w:lineRule="exact"/>
              <w:ind w:firstLine="420" w:firstLineChars="200"/>
              <w:jc w:val="both"/>
              <w:rPr>
                <w:rFonts w:hint="default" w:ascii="Times New Roman" w:hAnsi="Times New Roman" w:eastAsia="宋体" w:cs="Times New Roman"/>
                <w:color w:val="auto"/>
                <w:kern w:val="0"/>
                <w:sz w:val="24"/>
                <w:szCs w:val="24"/>
                <w:highlight w:val="none"/>
                <w:lang w:val="en-US" w:eastAsia="zh-CN" w:bidi="ar-SA"/>
              </w:rPr>
            </w:pPr>
            <w:r>
              <w:rPr>
                <w:rFonts w:ascii="Times New Roman" w:hAnsi="Times New Roman" w:eastAsia="宋体" w:cs="Times New Roman"/>
                <w:color w:val="auto"/>
                <w:kern w:val="0"/>
                <w:sz w:val="21"/>
                <w:szCs w:val="24"/>
                <w:lang w:val="en-US" w:eastAsia="zh-CN" w:bidi="ar-SA"/>
              </w:rPr>
              <mc:AlternateContent>
                <mc:Choice Requires="wpg">
                  <w:drawing>
                    <wp:anchor distT="0" distB="0" distL="114300" distR="114300" simplePos="0" relativeHeight="251663360" behindDoc="0" locked="0" layoutInCell="1" allowOverlap="1">
                      <wp:simplePos x="0" y="0"/>
                      <wp:positionH relativeFrom="column">
                        <wp:posOffset>-106045</wp:posOffset>
                      </wp:positionH>
                      <wp:positionV relativeFrom="paragraph">
                        <wp:posOffset>90170</wp:posOffset>
                      </wp:positionV>
                      <wp:extent cx="5142230" cy="4375785"/>
                      <wp:effectExtent l="0" t="0" r="0" b="0"/>
                      <wp:wrapNone/>
                      <wp:docPr id="203" name="组合 203"/>
                      <wp:cNvGraphicFramePr/>
                      <a:graphic xmlns:a="http://schemas.openxmlformats.org/drawingml/2006/main">
                        <a:graphicData uri="http://schemas.microsoft.com/office/word/2010/wordprocessingGroup">
                          <wpg:wgp>
                            <wpg:cNvGrpSpPr/>
                            <wpg:grpSpPr>
                              <a:xfrm>
                                <a:off x="0" y="0"/>
                                <a:ext cx="5142230" cy="4375785"/>
                                <a:chOff x="7642" y="479818"/>
                                <a:chExt cx="8098" cy="6891"/>
                              </a:xfrm>
                            </wpg:grpSpPr>
                            <wps:wsp>
                              <wps:cNvPr id="120" name="文本框 120"/>
                              <wps:cNvSpPr txBox="1"/>
                              <wps:spPr>
                                <a:xfrm>
                                  <a:off x="10736" y="479818"/>
                                  <a:ext cx="1252" cy="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jc w:val="center"/>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损耗</w:t>
                                    </w:r>
                                    <w:r>
                                      <w:rPr>
                                        <w:rFonts w:hint="eastAsia" w:ascii="Times New Roman" w:hAnsi="Times New Roman" w:eastAsia="宋体" w:cs="Times New Roman"/>
                                        <w:sz w:val="21"/>
                                        <w:lang w:val="en-US" w:eastAsia="zh-CN"/>
                                      </w:rPr>
                                      <w:t>7.28</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1" name="直接箭头连接符 121"/>
                              <wps:cNvCnPr/>
                              <wps:spPr>
                                <a:xfrm flipV="1">
                                  <a:off x="10440" y="480137"/>
                                  <a:ext cx="361" cy="362"/>
                                </a:xfrm>
                                <a:prstGeom prst="straightConnector1">
                                  <a:avLst/>
                                </a:prstGeom>
                                <a:noFill/>
                                <a:ln w="12700" cap="flat" cmpd="sng" algn="ctr">
                                  <a:solidFill>
                                    <a:srgbClr val="000000"/>
                                  </a:solidFill>
                                  <a:prstDash val="dash"/>
                                  <a:miter lim="800000"/>
                                  <a:headEnd type="none"/>
                                  <a:tailEnd type="triangle" w="med" len="med"/>
                                </a:ln>
                                <a:effectLst/>
                              </wps:spPr>
                              <wps:style>
                                <a:lnRef idx="2">
                                  <a:schemeClr val="accent1"/>
                                </a:lnRef>
                                <a:fillRef idx="0">
                                  <a:srgbClr val="FFFFFF"/>
                                </a:fillRef>
                                <a:effectRef idx="0">
                                  <a:srgbClr val="FFFFFF"/>
                                </a:effectRef>
                                <a:fontRef idx="minor">
                                  <a:schemeClr val="tx1"/>
                                </a:fontRef>
                              </wps:style>
                              <wps:bodyPr/>
                            </wps:wsp>
                            <wps:wsp>
                              <wps:cNvPr id="122" name="文本框 122"/>
                              <wps:cNvSpPr txBox="1"/>
                              <wps:spPr>
                                <a:xfrm>
                                  <a:off x="12244" y="480307"/>
                                  <a:ext cx="3497" cy="86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rPr>
                                        <w:rFonts w:hint="eastAsia" w:ascii="Calibri" w:hAnsi="Calibri" w:eastAsia="宋体" w:cs="Times New Roman"/>
                                        <w:sz w:val="21"/>
                                        <w:lang w:val="en-US" w:eastAsia="zh-CN"/>
                                      </w:rPr>
                                    </w:pPr>
                                    <w:r>
                                      <w:rPr>
                                        <w:rFonts w:hint="eastAsia" w:ascii="Calibri" w:hAnsi="Calibri" w:eastAsia="宋体" w:cs="Times New Roman"/>
                                        <w:sz w:val="21"/>
                                        <w:lang w:val="en-US" w:eastAsia="zh-CN"/>
                                      </w:rPr>
                                      <w:t>清运至呼图壁县丰泉</w:t>
                                    </w:r>
                                  </w:p>
                                  <w:p>
                                    <w:pPr>
                                      <w:rPr>
                                        <w:rFonts w:hint="default" w:ascii="Calibri" w:hAnsi="Calibri" w:eastAsia="宋体" w:cs="Times New Roman"/>
                                        <w:sz w:val="21"/>
                                        <w:lang w:val="en-US" w:eastAsia="zh-CN"/>
                                      </w:rPr>
                                    </w:pPr>
                                    <w:r>
                                      <w:rPr>
                                        <w:rFonts w:hint="eastAsia" w:ascii="Calibri" w:hAnsi="Calibri" w:eastAsia="宋体" w:cs="Times New Roman"/>
                                        <w:sz w:val="21"/>
                                        <w:lang w:val="en-US" w:eastAsia="zh-CN"/>
                                      </w:rPr>
                                      <w:t>污水处理厂</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3" name="文本框 123"/>
                              <wps:cNvSpPr txBox="1"/>
                              <wps:spPr>
                                <a:xfrm>
                                  <a:off x="11022" y="480282"/>
                                  <a:ext cx="1252" cy="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jc w:val="center"/>
                                      <w:rPr>
                                        <w:rFonts w:hint="default" w:ascii="Times New Roman" w:hAnsi="Times New Roman" w:eastAsia="宋体" w:cs="Times New Roman"/>
                                        <w:sz w:val="21"/>
                                        <w:lang w:val="en-US" w:eastAsia="zh-CN"/>
                                      </w:rPr>
                                    </w:pPr>
                                    <w:r>
                                      <w:rPr>
                                        <w:rFonts w:hint="eastAsia" w:ascii="Times New Roman" w:hAnsi="Times New Roman" w:eastAsia="宋体" w:cs="Times New Roman"/>
                                        <w:sz w:val="21"/>
                                        <w:lang w:val="en-US" w:eastAsia="zh-CN"/>
                                      </w:rPr>
                                      <w:t>29.12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4" name="文本框 124"/>
                              <wps:cNvSpPr txBox="1"/>
                              <wps:spPr>
                                <a:xfrm>
                                  <a:off x="9907" y="480434"/>
                                  <a:ext cx="1403" cy="50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rPr>
                                        <w:rFonts w:hint="default" w:ascii="Calibri" w:hAnsi="Calibri" w:eastAsia="宋体" w:cs="Times New Roman"/>
                                        <w:sz w:val="21"/>
                                        <w:lang w:val="en-US" w:eastAsia="zh-CN"/>
                                      </w:rPr>
                                    </w:pPr>
                                    <w:r>
                                      <w:rPr>
                                        <w:rFonts w:hint="eastAsia" w:ascii="Calibri" w:hAnsi="Calibri" w:eastAsia="宋体" w:cs="Times New Roman"/>
                                        <w:sz w:val="21"/>
                                        <w:lang w:val="en-US" w:eastAsia="zh-CN"/>
                                      </w:rPr>
                                      <w:t>防渗储集池</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5" name="文本框 125"/>
                              <wps:cNvSpPr txBox="1"/>
                              <wps:spPr>
                                <a:xfrm>
                                  <a:off x="8726" y="480296"/>
                                  <a:ext cx="1265" cy="76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jc w:val="center"/>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生活用水36.4</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6" name="文本框 126"/>
                              <wps:cNvSpPr txBox="1"/>
                              <wps:spPr>
                                <a:xfrm>
                                  <a:off x="7642" y="482117"/>
                                  <a:ext cx="1047" cy="76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jc w:val="center"/>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总用水1859.7</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8" name="文本框 38"/>
                              <wps:cNvSpPr txBox="1"/>
                              <wps:spPr>
                                <a:xfrm>
                                  <a:off x="7698" y="486221"/>
                                  <a:ext cx="1177" cy="48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jc w:val="center"/>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单位：m</w:t>
                                    </w:r>
                                    <w:r>
                                      <w:rPr>
                                        <w:rFonts w:hint="default" w:ascii="Times New Roman" w:hAnsi="Times New Roman" w:eastAsia="宋体" w:cs="Times New Roman"/>
                                        <w:sz w:val="21"/>
                                        <w:vertAlign w:val="superscript"/>
                                        <w:lang w:val="en-US" w:eastAsia="zh-CN"/>
                                      </w:rPr>
                                      <w:t>3</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8" name="文本框 128"/>
                              <wps:cNvSpPr txBox="1"/>
                              <wps:spPr>
                                <a:xfrm>
                                  <a:off x="10203" y="484937"/>
                                  <a:ext cx="1252" cy="47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jc w:val="center"/>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损耗500</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9" name="直接箭头连接符 129"/>
                              <wps:cNvCnPr/>
                              <wps:spPr>
                                <a:xfrm flipV="1">
                                  <a:off x="10440" y="484148"/>
                                  <a:ext cx="361" cy="362"/>
                                </a:xfrm>
                                <a:prstGeom prst="straightConnector1">
                                  <a:avLst/>
                                </a:prstGeom>
                                <a:noFill/>
                                <a:ln w="12700" cap="flat" cmpd="sng" algn="ctr">
                                  <a:solidFill>
                                    <a:srgbClr val="000000"/>
                                  </a:solidFill>
                                  <a:prstDash val="dash"/>
                                  <a:miter lim="800000"/>
                                  <a:headEnd type="none"/>
                                  <a:tailEnd type="triangle" w="med" len="med"/>
                                </a:ln>
                                <a:effectLst/>
                              </wps:spPr>
                              <wps:style>
                                <a:lnRef idx="2">
                                  <a:schemeClr val="accent1"/>
                                </a:lnRef>
                                <a:fillRef idx="0">
                                  <a:srgbClr val="FFFFFF"/>
                                </a:fillRef>
                                <a:effectRef idx="0">
                                  <a:srgbClr val="FFFFFF"/>
                                </a:effectRef>
                                <a:fontRef idx="minor">
                                  <a:schemeClr val="tx1"/>
                                </a:fontRef>
                              </wps:style>
                              <wps:bodyPr/>
                            </wps:wsp>
                            <wps:wsp>
                              <wps:cNvPr id="130" name="直接箭头连接符 130"/>
                              <wps:cNvCnPr/>
                              <wps:spPr>
                                <a:xfrm flipV="1">
                                  <a:off x="10464" y="485281"/>
                                  <a:ext cx="361" cy="362"/>
                                </a:xfrm>
                                <a:prstGeom prst="straightConnector1">
                                  <a:avLst/>
                                </a:prstGeom>
                                <a:noFill/>
                                <a:ln w="12700" cap="flat" cmpd="sng" algn="ctr">
                                  <a:solidFill>
                                    <a:srgbClr val="000000"/>
                                  </a:solidFill>
                                  <a:prstDash val="dash"/>
                                  <a:miter lim="800000"/>
                                  <a:headEnd type="none"/>
                                  <a:tailEnd type="triangle" w="med" len="med"/>
                                </a:ln>
                                <a:effectLst/>
                              </wps:spPr>
                              <wps:style>
                                <a:lnRef idx="2">
                                  <a:schemeClr val="accent1"/>
                                </a:lnRef>
                                <a:fillRef idx="0">
                                  <a:srgbClr val="FFFFFF"/>
                                </a:fillRef>
                                <a:effectRef idx="0">
                                  <a:srgbClr val="FFFFFF"/>
                                </a:effectRef>
                                <a:fontRef idx="minor">
                                  <a:schemeClr val="tx1"/>
                                </a:fontRef>
                              </wps:style>
                              <wps:bodyPr/>
                            </wps:wsp>
                            <wps:wsp>
                              <wps:cNvPr id="37" name="文本框 37"/>
                              <wps:cNvSpPr txBox="1"/>
                              <wps:spPr>
                                <a:xfrm>
                                  <a:off x="12385" y="484273"/>
                                  <a:ext cx="3030" cy="7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rPr>
                                        <w:rFonts w:hint="eastAsia" w:ascii="Calibri" w:hAnsi="Calibri" w:eastAsia="宋体" w:cs="Times New Roman"/>
                                        <w:sz w:val="21"/>
                                        <w:lang w:val="en-US" w:eastAsia="zh-CN"/>
                                      </w:rPr>
                                    </w:pPr>
                                    <w:r>
                                      <w:rPr>
                                        <w:rFonts w:hint="eastAsia" w:ascii="Calibri" w:hAnsi="Calibri" w:eastAsia="宋体" w:cs="Times New Roman"/>
                                        <w:sz w:val="21"/>
                                        <w:lang w:val="en-US" w:eastAsia="zh-CN"/>
                                      </w:rPr>
                                      <w:t>石西集中处理站采出水</w:t>
                                    </w:r>
                                  </w:p>
                                  <w:p>
                                    <w:pPr>
                                      <w:rPr>
                                        <w:rFonts w:hint="eastAsia" w:ascii="Calibri" w:hAnsi="Calibri" w:eastAsia="宋体" w:cs="Times New Roman"/>
                                        <w:sz w:val="21"/>
                                        <w:lang w:val="en-US" w:eastAsia="zh-CN"/>
                                      </w:rPr>
                                    </w:pPr>
                                    <w:r>
                                      <w:rPr>
                                        <w:rFonts w:hint="eastAsia" w:ascii="Calibri" w:hAnsi="Calibri" w:eastAsia="宋体" w:cs="Times New Roman"/>
                                        <w:sz w:val="21"/>
                                        <w:lang w:val="en-US" w:eastAsia="zh-CN"/>
                                      </w:rPr>
                                      <w:t>处理系统处理</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1" name="文本框 131"/>
                              <wps:cNvSpPr txBox="1"/>
                              <wps:spPr>
                                <a:xfrm>
                                  <a:off x="11184" y="484228"/>
                                  <a:ext cx="1252" cy="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jc w:val="center"/>
                                      <w:rPr>
                                        <w:rFonts w:hint="default" w:ascii="Times New Roman" w:hAnsi="Times New Roman" w:eastAsia="宋体" w:cs="Times New Roman"/>
                                        <w:sz w:val="21"/>
                                        <w:lang w:val="en-US" w:eastAsia="zh-CN"/>
                                      </w:rPr>
                                    </w:pPr>
                                    <w:r>
                                      <w:rPr>
                                        <w:rFonts w:hint="eastAsia" w:ascii="Times New Roman" w:hAnsi="Times New Roman" w:eastAsia="宋体" w:cs="Times New Roman"/>
                                        <w:sz w:val="21"/>
                                        <w:lang w:val="en-US" w:eastAsia="zh-CN"/>
                                      </w:rPr>
                                      <w:t>285</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2" name="直接箭头连接符 132"/>
                              <wps:cNvCnPr/>
                              <wps:spPr>
                                <a:xfrm>
                                  <a:off x="11359" y="484610"/>
                                  <a:ext cx="1025" cy="0"/>
                                </a:xfrm>
                                <a:prstGeom prst="straightConnector1">
                                  <a:avLst/>
                                </a:prstGeom>
                                <a:noFill/>
                                <a:ln w="12700" cap="flat" cmpd="sng" algn="ctr">
                                  <a:solidFill>
                                    <a:srgbClr val="000000"/>
                                  </a:solidFill>
                                  <a:prstDash val="solid"/>
                                  <a:miter lim="800000"/>
                                  <a:headEnd type="none"/>
                                  <a:tailEnd type="triangle" w="med" len="med"/>
                                </a:ln>
                                <a:effectLst/>
                              </wps:spPr>
                              <wps:style>
                                <a:lnRef idx="2">
                                  <a:schemeClr val="accent1"/>
                                </a:lnRef>
                                <a:fillRef idx="0">
                                  <a:srgbClr val="FFFFFF"/>
                                </a:fillRef>
                                <a:effectRef idx="0">
                                  <a:srgbClr val="FFFFFF"/>
                                </a:effectRef>
                                <a:fontRef idx="minor">
                                  <a:schemeClr val="tx1"/>
                                </a:fontRef>
                              </wps:style>
                              <wps:bodyPr/>
                            </wps:wsp>
                            <wps:wsp>
                              <wps:cNvPr id="133" name="文本框 133"/>
                              <wps:cNvSpPr txBox="1"/>
                              <wps:spPr>
                                <a:xfrm>
                                  <a:off x="9924" y="484340"/>
                                  <a:ext cx="1578" cy="50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rPr>
                                        <w:rFonts w:hint="default" w:ascii="Calibri" w:hAnsi="Calibri" w:eastAsia="宋体" w:cs="Times New Roman"/>
                                        <w:sz w:val="21"/>
                                        <w:lang w:val="en-US" w:eastAsia="zh-CN"/>
                                      </w:rPr>
                                    </w:pPr>
                                    <w:r>
                                      <w:rPr>
                                        <w:rFonts w:hint="eastAsia" w:ascii="Calibri" w:hAnsi="Calibri" w:eastAsia="宋体" w:cs="Times New Roman"/>
                                        <w:sz w:val="21"/>
                                        <w:lang w:val="en-US" w:eastAsia="zh-CN"/>
                                      </w:rPr>
                                      <w:t>井场专用储罐</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4" name="文本框 134"/>
                              <wps:cNvSpPr txBox="1"/>
                              <wps:spPr>
                                <a:xfrm>
                                  <a:off x="12348" y="485458"/>
                                  <a:ext cx="3196" cy="73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rPr>
                                        <w:rFonts w:hint="eastAsia" w:ascii="Calibri" w:hAnsi="Calibri" w:eastAsia="宋体" w:cs="Times New Roman"/>
                                        <w:sz w:val="21"/>
                                        <w:lang w:val="en-US" w:eastAsia="zh-CN"/>
                                      </w:rPr>
                                    </w:pPr>
                                    <w:r>
                                      <w:rPr>
                                        <w:rFonts w:hint="eastAsia" w:ascii="Calibri" w:hAnsi="Calibri" w:eastAsia="宋体" w:cs="Times New Roman"/>
                                        <w:sz w:val="21"/>
                                        <w:lang w:val="en-US" w:eastAsia="zh-CN"/>
                                      </w:rPr>
                                      <w:t>石西集中处理站采出水</w:t>
                                    </w:r>
                                  </w:p>
                                  <w:p>
                                    <w:pPr>
                                      <w:rPr>
                                        <w:rFonts w:hint="eastAsia" w:ascii="Calibri" w:hAnsi="Calibri" w:eastAsia="宋体" w:cs="Times New Roman"/>
                                        <w:sz w:val="21"/>
                                        <w:lang w:val="en-US" w:eastAsia="zh-CN"/>
                                      </w:rPr>
                                    </w:pPr>
                                    <w:r>
                                      <w:rPr>
                                        <w:rFonts w:hint="eastAsia" w:ascii="Calibri" w:hAnsi="Calibri" w:eastAsia="宋体" w:cs="Times New Roman"/>
                                        <w:sz w:val="21"/>
                                        <w:lang w:val="en-US" w:eastAsia="zh-CN"/>
                                      </w:rPr>
                                      <w:t>处理系统处理</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5" name="文本框 135"/>
                              <wps:cNvSpPr txBox="1"/>
                              <wps:spPr>
                                <a:xfrm>
                                  <a:off x="11172" y="485447"/>
                                  <a:ext cx="1252" cy="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jc w:val="center"/>
                                      <w:rPr>
                                        <w:rFonts w:hint="default" w:ascii="Times New Roman" w:hAnsi="Times New Roman" w:eastAsia="宋体" w:cs="Times New Roman"/>
                                        <w:sz w:val="21"/>
                                        <w:lang w:val="en-US" w:eastAsia="zh-CN"/>
                                      </w:rPr>
                                    </w:pPr>
                                    <w:r>
                                      <w:rPr>
                                        <w:rFonts w:hint="eastAsia" w:ascii="Times New Roman" w:hAnsi="Times New Roman" w:eastAsia="宋体" w:cs="Times New Roman"/>
                                        <w:sz w:val="21"/>
                                        <w:lang w:val="en-US" w:eastAsia="zh-CN"/>
                                      </w:rPr>
                                      <w:t>500</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7" name="直接箭头连接符 137"/>
                              <wps:cNvCnPr/>
                              <wps:spPr>
                                <a:xfrm>
                                  <a:off x="11321" y="485810"/>
                                  <a:ext cx="1025" cy="0"/>
                                </a:xfrm>
                                <a:prstGeom prst="straightConnector1">
                                  <a:avLst/>
                                </a:prstGeom>
                                <a:noFill/>
                                <a:ln w="12700" cap="flat" cmpd="sng" algn="ctr">
                                  <a:solidFill>
                                    <a:srgbClr val="000000"/>
                                  </a:solidFill>
                                  <a:prstDash val="solid"/>
                                  <a:miter lim="800000"/>
                                  <a:headEnd type="none"/>
                                  <a:tailEnd type="triangle" w="med" len="med"/>
                                </a:ln>
                                <a:effectLst/>
                              </wps:spPr>
                              <wps:style>
                                <a:lnRef idx="2">
                                  <a:schemeClr val="accent1"/>
                                </a:lnRef>
                                <a:fillRef idx="0">
                                  <a:srgbClr val="FFFFFF"/>
                                </a:fillRef>
                                <a:effectRef idx="0">
                                  <a:srgbClr val="FFFFFF"/>
                                </a:effectRef>
                                <a:fontRef idx="minor">
                                  <a:schemeClr val="tx1"/>
                                </a:fontRef>
                              </wps:style>
                              <wps:bodyPr/>
                            </wps:wsp>
                            <wps:wsp>
                              <wps:cNvPr id="138" name="文本框 138"/>
                              <wps:cNvSpPr txBox="1"/>
                              <wps:spPr>
                                <a:xfrm>
                                  <a:off x="9861" y="485573"/>
                                  <a:ext cx="1728" cy="50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rPr>
                                        <w:rFonts w:hint="default" w:ascii="Calibri" w:hAnsi="Calibri" w:eastAsia="宋体" w:cs="Times New Roman"/>
                                        <w:sz w:val="21"/>
                                        <w:lang w:val="en-US" w:eastAsia="zh-CN"/>
                                      </w:rPr>
                                    </w:pPr>
                                    <w:r>
                                      <w:rPr>
                                        <w:rFonts w:hint="eastAsia" w:ascii="Calibri" w:hAnsi="Calibri" w:eastAsia="宋体" w:cs="Times New Roman"/>
                                        <w:sz w:val="21"/>
                                        <w:lang w:val="en-US" w:eastAsia="zh-CN"/>
                                      </w:rPr>
                                      <w:t>井场专用储罐</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43" name="直接箭头连接符 143"/>
                              <wps:cNvCnPr/>
                              <wps:spPr>
                                <a:xfrm>
                                  <a:off x="11208" y="480643"/>
                                  <a:ext cx="1025" cy="0"/>
                                </a:xfrm>
                                <a:prstGeom prst="straightConnector1">
                                  <a:avLst/>
                                </a:prstGeom>
                                <a:noFill/>
                                <a:ln w="12700" cap="flat" cmpd="sng" algn="ctr">
                                  <a:solidFill>
                                    <a:srgbClr val="000000"/>
                                  </a:solidFill>
                                  <a:prstDash val="solid"/>
                                  <a:miter lim="800000"/>
                                  <a:headEnd type="none"/>
                                  <a:tailEnd type="triangle" w="med" len="med"/>
                                </a:ln>
                                <a:effectLst/>
                              </wps:spPr>
                              <wps:style>
                                <a:lnRef idx="2">
                                  <a:schemeClr val="accent1"/>
                                </a:lnRef>
                                <a:fillRef idx="0">
                                  <a:srgbClr val="FFFFFF"/>
                                </a:fillRef>
                                <a:effectRef idx="0">
                                  <a:srgbClr val="FFFFFF"/>
                                </a:effectRef>
                                <a:fontRef idx="minor">
                                  <a:schemeClr val="tx1"/>
                                </a:fontRef>
                              </wps:style>
                              <wps:bodyPr/>
                            </wps:wsp>
                            <wps:wsp>
                              <wps:cNvPr id="144" name="文本框 144"/>
                              <wps:cNvSpPr txBox="1"/>
                              <wps:spPr>
                                <a:xfrm>
                                  <a:off x="8713" y="485479"/>
                                  <a:ext cx="1351" cy="76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jc w:val="center"/>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压裂液用水1000</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46" name="文本框 146"/>
                              <wps:cNvSpPr txBox="1"/>
                              <wps:spPr>
                                <a:xfrm>
                                  <a:off x="8678" y="484180"/>
                                  <a:ext cx="1377" cy="76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jc w:val="center"/>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洗井液用水300</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47" name="直接箭头连接符 147"/>
                              <wps:cNvCnPr/>
                              <wps:spPr>
                                <a:xfrm>
                                  <a:off x="8821" y="484577"/>
                                  <a:ext cx="1025" cy="0"/>
                                </a:xfrm>
                                <a:prstGeom prst="straightConnector1">
                                  <a:avLst/>
                                </a:prstGeom>
                                <a:noFill/>
                                <a:ln w="12700" cap="flat" cmpd="sng" algn="ctr">
                                  <a:solidFill>
                                    <a:srgbClr val="000000"/>
                                  </a:solidFill>
                                  <a:prstDash val="solid"/>
                                  <a:miter lim="800000"/>
                                  <a:headEnd type="none"/>
                                  <a:tailEnd type="triangle" w="med" len="med"/>
                                </a:ln>
                                <a:effectLst/>
                              </wps:spPr>
                              <wps:style>
                                <a:lnRef idx="2">
                                  <a:schemeClr val="accent1"/>
                                </a:lnRef>
                                <a:fillRef idx="0">
                                  <a:srgbClr val="FFFFFF"/>
                                </a:fillRef>
                                <a:effectRef idx="0">
                                  <a:srgbClr val="FFFFFF"/>
                                </a:effectRef>
                                <a:fontRef idx="minor">
                                  <a:schemeClr val="tx1"/>
                                </a:fontRef>
                              </wps:style>
                              <wps:bodyPr/>
                            </wps:wsp>
                            <wps:wsp>
                              <wps:cNvPr id="148" name="直接箭头连接符 148"/>
                              <wps:cNvCnPr/>
                              <wps:spPr>
                                <a:xfrm>
                                  <a:off x="8821" y="485843"/>
                                  <a:ext cx="1025" cy="0"/>
                                </a:xfrm>
                                <a:prstGeom prst="straightConnector1">
                                  <a:avLst/>
                                </a:prstGeom>
                                <a:noFill/>
                                <a:ln w="12700" cap="flat" cmpd="sng" algn="ctr">
                                  <a:solidFill>
                                    <a:srgbClr val="000000"/>
                                  </a:solidFill>
                                  <a:prstDash val="solid"/>
                                  <a:miter lim="800000"/>
                                  <a:headEnd type="none"/>
                                  <a:tailEnd type="triangle" w="med" len="med"/>
                                </a:ln>
                                <a:effectLst/>
                              </wps:spPr>
                              <wps:style>
                                <a:lnRef idx="2">
                                  <a:schemeClr val="accent1"/>
                                </a:lnRef>
                                <a:fillRef idx="0">
                                  <a:srgbClr val="FFFFFF"/>
                                </a:fillRef>
                                <a:effectRef idx="0">
                                  <a:srgbClr val="FFFFFF"/>
                                </a:effectRef>
                                <a:fontRef idx="minor">
                                  <a:schemeClr val="tx1"/>
                                </a:fontRef>
                              </wps:style>
                              <wps:bodyPr/>
                            </wps:wsp>
                            <wps:wsp>
                              <wps:cNvPr id="136" name="文本框 136"/>
                              <wps:cNvSpPr txBox="1"/>
                              <wps:spPr>
                                <a:xfrm>
                                  <a:off x="10976" y="481708"/>
                                  <a:ext cx="1252" cy="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jc w:val="center"/>
                                      <w:rPr>
                                        <w:rFonts w:hint="default" w:ascii="Times New Roman" w:hAnsi="Times New Roman" w:eastAsia="宋体" w:cs="Times New Roman"/>
                                        <w:sz w:val="21"/>
                                        <w:lang w:val="en-US" w:eastAsia="zh-CN"/>
                                      </w:rPr>
                                    </w:pPr>
                                    <w:r>
                                      <w:rPr>
                                        <w:rFonts w:hint="eastAsia" w:ascii="Times New Roman" w:hAnsi="Times New Roman" w:eastAsia="宋体" w:cs="Times New Roman"/>
                                        <w:sz w:val="21"/>
                                        <w:lang w:val="en-US" w:eastAsia="zh-CN"/>
                                      </w:rPr>
                                      <w:t>66.88</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9" name="文本框 139"/>
                              <wps:cNvSpPr txBox="1"/>
                              <wps:spPr>
                                <a:xfrm>
                                  <a:off x="12127" y="481847"/>
                                  <a:ext cx="2952" cy="50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rPr>
                                        <w:rFonts w:hint="default" w:ascii="Calibri" w:hAnsi="Calibri" w:eastAsia="宋体" w:cs="Times New Roman"/>
                                        <w:sz w:val="21"/>
                                        <w:lang w:val="en-US" w:eastAsia="zh-CN"/>
                                      </w:rPr>
                                    </w:pPr>
                                    <w:bookmarkStart w:id="163" w:name="OLE_LINK46"/>
                                    <w:r>
                                      <w:rPr>
                                        <w:rFonts w:hint="eastAsia" w:ascii="Calibri" w:hAnsi="Calibri" w:eastAsia="宋体" w:cs="Times New Roman"/>
                                        <w:sz w:val="21"/>
                                        <w:lang w:val="en-US" w:eastAsia="zh-CN"/>
                                      </w:rPr>
                                      <w:t>用于下一井场钻井液配置</w:t>
                                    </w:r>
                                  </w:p>
                                  <w:bookmarkEnd w:id="163"/>
                                  <w:p>
                                    <w:pPr>
                                      <w:rPr>
                                        <w:rFonts w:hint="default" w:ascii="Times New Roman" w:hAnsi="Times New Roman" w:eastAsia="宋体" w:cs="Times New Roman"/>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7" name="文本框 17"/>
                              <wps:cNvSpPr txBox="1"/>
                              <wps:spPr>
                                <a:xfrm>
                                  <a:off x="10165" y="481230"/>
                                  <a:ext cx="1498" cy="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jc w:val="center"/>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损耗</w:t>
                                    </w:r>
                                    <w:r>
                                      <w:rPr>
                                        <w:rFonts w:hint="eastAsia" w:ascii="Times New Roman" w:hAnsi="Times New Roman" w:eastAsia="宋体" w:cs="Times New Roman"/>
                                        <w:sz w:val="21"/>
                                        <w:lang w:val="en-US" w:eastAsia="zh-CN"/>
                                      </w:rPr>
                                      <w:t>100.32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40" name="直接箭头连接符 140"/>
                              <wps:cNvCnPr/>
                              <wps:spPr>
                                <a:xfrm flipV="1">
                                  <a:off x="10426" y="481593"/>
                                  <a:ext cx="361" cy="362"/>
                                </a:xfrm>
                                <a:prstGeom prst="straightConnector1">
                                  <a:avLst/>
                                </a:prstGeom>
                                <a:noFill/>
                                <a:ln w="12700" cap="flat" cmpd="sng" algn="ctr">
                                  <a:solidFill>
                                    <a:srgbClr val="000000"/>
                                  </a:solidFill>
                                  <a:prstDash val="dash"/>
                                  <a:miter lim="800000"/>
                                  <a:headEnd type="none"/>
                                  <a:tailEnd type="triangle" w="med" len="med"/>
                                </a:ln>
                                <a:effectLst/>
                              </wps:spPr>
                              <wps:style>
                                <a:lnRef idx="2">
                                  <a:schemeClr val="accent1"/>
                                </a:lnRef>
                                <a:fillRef idx="0">
                                  <a:srgbClr val="FFFFFF"/>
                                </a:fillRef>
                                <a:effectRef idx="0">
                                  <a:srgbClr val="FFFFFF"/>
                                </a:effectRef>
                                <a:fontRef idx="minor">
                                  <a:schemeClr val="tx1"/>
                                </a:fontRef>
                              </wps:style>
                              <wps:bodyPr/>
                            </wps:wsp>
                            <wps:wsp>
                              <wps:cNvPr id="141" name="直接箭头连接符 141"/>
                              <wps:cNvCnPr/>
                              <wps:spPr>
                                <a:xfrm>
                                  <a:off x="11121" y="482081"/>
                                  <a:ext cx="1025" cy="0"/>
                                </a:xfrm>
                                <a:prstGeom prst="straightConnector1">
                                  <a:avLst/>
                                </a:prstGeom>
                                <a:noFill/>
                                <a:ln w="12700" cap="flat" cmpd="sng" algn="ctr">
                                  <a:solidFill>
                                    <a:srgbClr val="000000"/>
                                  </a:solidFill>
                                  <a:prstDash val="solid"/>
                                  <a:miter lim="800000"/>
                                  <a:headEnd type="none"/>
                                  <a:tailEnd type="triangle" w="med" len="med"/>
                                </a:ln>
                                <a:effectLst/>
                              </wps:spPr>
                              <wps:style>
                                <a:lnRef idx="2">
                                  <a:schemeClr val="accent1"/>
                                </a:lnRef>
                                <a:fillRef idx="0">
                                  <a:srgbClr val="FFFFFF"/>
                                </a:fillRef>
                                <a:effectRef idx="0">
                                  <a:srgbClr val="FFFFFF"/>
                                </a:effectRef>
                                <a:fontRef idx="minor">
                                  <a:schemeClr val="tx1"/>
                                </a:fontRef>
                              </wps:style>
                              <wps:bodyPr/>
                            </wps:wsp>
                            <wps:wsp>
                              <wps:cNvPr id="142" name="文本框 142"/>
                              <wps:cNvSpPr txBox="1"/>
                              <wps:spPr>
                                <a:xfrm>
                                  <a:off x="9861" y="481847"/>
                                  <a:ext cx="1403" cy="50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rPr>
                                        <w:rFonts w:hint="default" w:ascii="Calibri" w:hAnsi="Calibri" w:eastAsia="宋体" w:cs="Times New Roman"/>
                                        <w:sz w:val="21"/>
                                        <w:lang w:val="en-US" w:eastAsia="zh-CN"/>
                                      </w:rPr>
                                    </w:pPr>
                                    <w:r>
                                      <w:rPr>
                                        <w:rFonts w:hint="eastAsia" w:ascii="Calibri" w:hAnsi="Calibri" w:eastAsia="宋体" w:cs="Times New Roman"/>
                                        <w:sz w:val="21"/>
                                        <w:lang w:val="en-US" w:eastAsia="zh-CN"/>
                                      </w:rPr>
                                      <w:t>不落地系统</w:t>
                                    </w:r>
                                  </w:p>
                                  <w:p>
                                    <w:pPr>
                                      <w:rPr>
                                        <w:rFonts w:hint="default" w:ascii="Times New Roman" w:hAnsi="Times New Roman" w:eastAsia="宋体" w:cs="Times New Roman"/>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45" name="文本框 145"/>
                              <wps:cNvSpPr txBox="1"/>
                              <wps:spPr>
                                <a:xfrm>
                                  <a:off x="8665" y="481717"/>
                                  <a:ext cx="1377" cy="76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jc w:val="center"/>
                                      <w:rPr>
                                        <w:rFonts w:hint="default"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水基</w:t>
                                    </w:r>
                                    <w:r>
                                      <w:rPr>
                                        <w:rFonts w:hint="default" w:ascii="Times New Roman" w:hAnsi="Times New Roman" w:eastAsia="宋体" w:cs="Times New Roman"/>
                                        <w:color w:val="auto"/>
                                        <w:sz w:val="21"/>
                                        <w:lang w:val="en-US" w:eastAsia="zh-CN"/>
                                      </w:rPr>
                                      <w:t>钻井液用水</w:t>
                                    </w:r>
                                    <w:r>
                                      <w:rPr>
                                        <w:rFonts w:hint="default" w:ascii="Times New Roman" w:hAnsi="Times New Roman" w:eastAsia="宋体" w:cs="Times New Roman"/>
                                        <w:color w:val="auto"/>
                                        <w:sz w:val="21"/>
                                        <w:szCs w:val="21"/>
                                        <w:highlight w:val="none"/>
                                        <w:lang w:val="en-US" w:eastAsia="zh-CN"/>
                                      </w:rPr>
                                      <w:t>167.2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49" name="直接箭头连接符 149"/>
                              <wps:cNvCnPr/>
                              <wps:spPr>
                                <a:xfrm>
                                  <a:off x="8821" y="482093"/>
                                  <a:ext cx="1025" cy="0"/>
                                </a:xfrm>
                                <a:prstGeom prst="straightConnector1">
                                  <a:avLst/>
                                </a:prstGeom>
                                <a:noFill/>
                                <a:ln w="12700" cap="flat" cmpd="sng" algn="ctr">
                                  <a:solidFill>
                                    <a:srgbClr val="000000"/>
                                  </a:solidFill>
                                  <a:prstDash val="solid"/>
                                  <a:miter lim="800000"/>
                                  <a:headEnd type="none"/>
                                  <a:tailEnd type="triangle" w="med" len="med"/>
                                </a:ln>
                                <a:effectLst/>
                              </wps:spPr>
                              <wps:style>
                                <a:lnRef idx="2">
                                  <a:schemeClr val="accent1"/>
                                </a:lnRef>
                                <a:fillRef idx="0">
                                  <a:srgbClr val="FFFFFF"/>
                                </a:fillRef>
                                <a:effectRef idx="0">
                                  <a:srgbClr val="FFFFFF"/>
                                </a:effectRef>
                                <a:fontRef idx="minor">
                                  <a:schemeClr val="tx1"/>
                                </a:fontRef>
                              </wps:style>
                              <wps:bodyPr/>
                            </wps:wsp>
                            <wps:wsp>
                              <wps:cNvPr id="150" name="直接箭头连接符 150"/>
                              <wps:cNvCnPr>
                                <a:endCxn id="125" idx="3"/>
                              </wps:cNvCnPr>
                              <wps:spPr>
                                <a:xfrm flipV="1">
                                  <a:off x="8811" y="480678"/>
                                  <a:ext cx="1180" cy="6"/>
                                </a:xfrm>
                                <a:prstGeom prst="straightConnector1">
                                  <a:avLst/>
                                </a:prstGeom>
                                <a:noFill/>
                                <a:ln w="12700" cap="flat" cmpd="sng" algn="ctr">
                                  <a:solidFill>
                                    <a:srgbClr val="000000"/>
                                  </a:solidFill>
                                  <a:prstDash val="solid"/>
                                  <a:miter lim="800000"/>
                                  <a:headEnd type="none"/>
                                  <a:tailEnd type="triangle" w="med" len="med"/>
                                </a:ln>
                                <a:effectLst/>
                              </wps:spPr>
                              <wps:style>
                                <a:lnRef idx="2">
                                  <a:schemeClr val="accent1"/>
                                </a:lnRef>
                                <a:fillRef idx="0">
                                  <a:srgbClr val="FFFFFF"/>
                                </a:fillRef>
                                <a:effectRef idx="0">
                                  <a:srgbClr val="FFFFFF"/>
                                </a:effectRef>
                                <a:fontRef idx="minor">
                                  <a:schemeClr val="tx1"/>
                                </a:fontRef>
                              </wps:style>
                              <wps:bodyPr/>
                            </wps:wsp>
                            <wps:wsp>
                              <wps:cNvPr id="151" name="直接连接符 151"/>
                              <wps:cNvCnPr/>
                              <wps:spPr>
                                <a:xfrm>
                                  <a:off x="8804" y="480667"/>
                                  <a:ext cx="0" cy="5172"/>
                                </a:xfrm>
                                <a:prstGeom prst="line">
                                  <a:avLst/>
                                </a:prstGeom>
                                <a:noFill/>
                                <a:ln w="12700" cap="flat" cmpd="sng" algn="ctr">
                                  <a:solidFill>
                                    <a:srgbClr val="000000"/>
                                  </a:solidFill>
                                  <a:prstDash val="solid"/>
                                  <a:miter lim="800000"/>
                                </a:ln>
                                <a:effectLst/>
                              </wps:spPr>
                              <wps:style>
                                <a:lnRef idx="2">
                                  <a:schemeClr val="accent1"/>
                                </a:lnRef>
                                <a:fillRef idx="0">
                                  <a:srgbClr val="FFFFFF"/>
                                </a:fillRef>
                                <a:effectRef idx="0">
                                  <a:srgbClr val="FFFFFF"/>
                                </a:effectRef>
                                <a:fontRef idx="minor">
                                  <a:schemeClr val="tx1"/>
                                </a:fontRef>
                              </wps:style>
                              <wps:bodyPr/>
                            </wps:wsp>
                            <wps:wsp>
                              <wps:cNvPr id="152" name="直接箭头连接符 152"/>
                              <wps:cNvCnPr/>
                              <wps:spPr>
                                <a:xfrm>
                                  <a:off x="7759" y="482493"/>
                                  <a:ext cx="1025" cy="0"/>
                                </a:xfrm>
                                <a:prstGeom prst="straightConnector1">
                                  <a:avLst/>
                                </a:prstGeom>
                                <a:noFill/>
                                <a:ln w="12700" cap="flat" cmpd="sng" algn="ctr">
                                  <a:solidFill>
                                    <a:srgbClr val="000000"/>
                                  </a:solidFill>
                                  <a:prstDash val="solid"/>
                                  <a:miter lim="800000"/>
                                  <a:headEnd type="none"/>
                                  <a:tailEnd type="triangle" w="med" len="med"/>
                                </a:ln>
                                <a:effectLst/>
                              </wps:spPr>
                              <wps:style>
                                <a:lnRef idx="2">
                                  <a:schemeClr val="accent1"/>
                                </a:lnRef>
                                <a:fillRef idx="0">
                                  <a:srgbClr val="FFFFFF"/>
                                </a:fillRef>
                                <a:effectRef idx="0">
                                  <a:srgbClr val="FFFFFF"/>
                                </a:effectRef>
                                <a:fontRef idx="minor">
                                  <a:schemeClr val="tx1"/>
                                </a:fontRef>
                              </wps:style>
                              <wps:bodyPr/>
                            </wps:wsp>
                            <wpg:grpSp>
                              <wpg:cNvPr id="204" name="组合 155"/>
                              <wpg:cNvGrpSpPr/>
                              <wpg:grpSpPr>
                                <a:xfrm>
                                  <a:off x="8655" y="482453"/>
                                  <a:ext cx="6064" cy="1847"/>
                                  <a:chOff x="8665" y="481230"/>
                                  <a:chExt cx="6064" cy="1847"/>
                                </a:xfrm>
                              </wpg:grpSpPr>
                              <wps:wsp>
                                <wps:cNvPr id="156" name="文本框 127"/>
                                <wps:cNvSpPr txBox="1"/>
                                <wps:spPr>
                                  <a:xfrm>
                                    <a:off x="10129" y="482612"/>
                                    <a:ext cx="3611" cy="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jc w:val="center"/>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损耗15（设备工艺损耗占比约5%）</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57" name="文本框 136"/>
                                <wps:cNvSpPr txBox="1"/>
                                <wps:spPr>
                                  <a:xfrm>
                                    <a:off x="10976" y="481708"/>
                                    <a:ext cx="1252" cy="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jc w:val="center"/>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142.44</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58" name="文本框 139"/>
                                <wps:cNvSpPr txBox="1"/>
                                <wps:spPr>
                                  <a:xfrm>
                                    <a:off x="12127" y="481847"/>
                                    <a:ext cx="2602" cy="50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rPr>
                                          <w:rFonts w:hint="default" w:ascii="Calibri" w:hAnsi="Calibri" w:eastAsia="宋体" w:cs="Times New Roman"/>
                                          <w:sz w:val="21"/>
                                          <w:lang w:val="en-US" w:eastAsia="zh-CN"/>
                                        </w:rPr>
                                      </w:pPr>
                                      <w:r>
                                        <w:rPr>
                                          <w:rFonts w:hint="eastAsia" w:ascii="Calibri" w:hAnsi="Calibri" w:eastAsia="宋体" w:cs="Times New Roman"/>
                                          <w:sz w:val="21"/>
                                          <w:lang w:val="en-US" w:eastAsia="zh-CN"/>
                                        </w:rPr>
                                        <w:t>用于下一井场钻井液配置</w:t>
                                      </w:r>
                                    </w:p>
                                    <w:p>
                                      <w:pPr>
                                        <w:rPr>
                                          <w:rFonts w:hint="default" w:ascii="Times New Roman" w:hAnsi="Times New Roman" w:eastAsia="宋体" w:cs="Times New Roman"/>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59" name="文本框 17"/>
                                <wps:cNvSpPr txBox="1"/>
                                <wps:spPr>
                                  <a:xfrm>
                                    <a:off x="10165" y="481230"/>
                                    <a:ext cx="1498" cy="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jc w:val="center"/>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损耗</w:t>
                                      </w:r>
                                      <w:bookmarkStart w:id="164" w:name="OLE_LINK47"/>
                                      <w:r>
                                        <w:rPr>
                                          <w:rFonts w:hint="default" w:ascii="Times New Roman" w:hAnsi="Times New Roman" w:eastAsia="宋体" w:cs="Times New Roman"/>
                                          <w:sz w:val="21"/>
                                          <w:lang w:val="en-US" w:eastAsia="zh-CN"/>
                                        </w:rPr>
                                        <w:t>213.66</w:t>
                                      </w:r>
                                      <w:bookmarkEnd w:id="164"/>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60" name="直接箭头连接符 140"/>
                                <wps:cNvCnPr/>
                                <wps:spPr>
                                  <a:xfrm flipV="1">
                                    <a:off x="10426" y="481593"/>
                                    <a:ext cx="361" cy="362"/>
                                  </a:xfrm>
                                  <a:prstGeom prst="straightConnector1">
                                    <a:avLst/>
                                  </a:prstGeom>
                                  <a:noFill/>
                                  <a:ln w="12700" cap="flat" cmpd="sng" algn="ctr">
                                    <a:solidFill>
                                      <a:srgbClr val="000000"/>
                                    </a:solidFill>
                                    <a:prstDash val="dash"/>
                                    <a:miter lim="800000"/>
                                    <a:headEnd type="none"/>
                                    <a:tailEnd type="triangle" w="med" len="med"/>
                                  </a:ln>
                                  <a:effectLst/>
                                </wps:spPr>
                                <wps:style>
                                  <a:lnRef idx="2">
                                    <a:schemeClr val="accent1"/>
                                  </a:lnRef>
                                  <a:fillRef idx="0">
                                    <a:srgbClr val="FFFFFF"/>
                                  </a:fillRef>
                                  <a:effectRef idx="0">
                                    <a:srgbClr val="FFFFFF"/>
                                  </a:effectRef>
                                  <a:fontRef idx="minor">
                                    <a:schemeClr val="tx1"/>
                                  </a:fontRef>
                                </wps:style>
                                <wps:bodyPr/>
                              </wps:wsp>
                              <wps:wsp>
                                <wps:cNvPr id="161" name="直接箭头连接符 141"/>
                                <wps:cNvCnPr/>
                                <wps:spPr>
                                  <a:xfrm>
                                    <a:off x="11121" y="482081"/>
                                    <a:ext cx="1025" cy="0"/>
                                  </a:xfrm>
                                  <a:prstGeom prst="straightConnector1">
                                    <a:avLst/>
                                  </a:prstGeom>
                                  <a:noFill/>
                                  <a:ln w="12700" cap="flat" cmpd="sng" algn="ctr">
                                    <a:solidFill>
                                      <a:srgbClr val="000000"/>
                                    </a:solidFill>
                                    <a:prstDash val="solid"/>
                                    <a:miter lim="800000"/>
                                    <a:headEnd type="none"/>
                                    <a:tailEnd type="triangle" w="med" len="med"/>
                                  </a:ln>
                                  <a:effectLst/>
                                </wps:spPr>
                                <wps:style>
                                  <a:lnRef idx="2">
                                    <a:schemeClr val="accent1"/>
                                  </a:lnRef>
                                  <a:fillRef idx="0">
                                    <a:srgbClr val="FFFFFF"/>
                                  </a:fillRef>
                                  <a:effectRef idx="0">
                                    <a:srgbClr val="FFFFFF"/>
                                  </a:effectRef>
                                  <a:fontRef idx="minor">
                                    <a:schemeClr val="tx1"/>
                                  </a:fontRef>
                                </wps:style>
                                <wps:bodyPr/>
                              </wps:wsp>
                              <wps:wsp>
                                <wps:cNvPr id="162" name="文本框 142"/>
                                <wps:cNvSpPr txBox="1"/>
                                <wps:spPr>
                                  <a:xfrm>
                                    <a:off x="9861" y="481847"/>
                                    <a:ext cx="1403" cy="50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rPr>
                                          <w:rFonts w:hint="default" w:ascii="Calibri" w:hAnsi="Calibri" w:eastAsia="宋体" w:cs="Times New Roman"/>
                                          <w:sz w:val="21"/>
                                          <w:lang w:val="en-US" w:eastAsia="zh-CN"/>
                                        </w:rPr>
                                      </w:pPr>
                                      <w:r>
                                        <w:rPr>
                                          <w:rFonts w:hint="eastAsia" w:ascii="Calibri" w:hAnsi="Calibri" w:eastAsia="宋体" w:cs="Times New Roman"/>
                                          <w:sz w:val="21"/>
                                          <w:lang w:val="en-US" w:eastAsia="zh-CN"/>
                                        </w:rPr>
                                        <w:t>不落地系统</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63" name="文本框 145"/>
                                <wps:cNvSpPr txBox="1"/>
                                <wps:spPr>
                                  <a:xfrm>
                                    <a:off x="8665" y="481717"/>
                                    <a:ext cx="1377" cy="76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jc w:val="center"/>
                                        <w:rPr>
                                          <w:rFonts w:hint="default"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油基</w:t>
                                      </w:r>
                                      <w:r>
                                        <w:rPr>
                                          <w:rFonts w:hint="default" w:ascii="Times New Roman" w:hAnsi="Times New Roman" w:eastAsia="宋体" w:cs="Times New Roman"/>
                                          <w:color w:val="auto"/>
                                          <w:sz w:val="21"/>
                                          <w:lang w:val="en-US" w:eastAsia="zh-CN"/>
                                        </w:rPr>
                                        <w:t>钻井液用水</w:t>
                                      </w:r>
                                      <w:bookmarkStart w:id="165" w:name="OLE_LINK45"/>
                                      <w:r>
                                        <w:rPr>
                                          <w:rFonts w:hint="default" w:ascii="Times New Roman" w:hAnsi="Times New Roman" w:eastAsia="宋体" w:cs="Times New Roman"/>
                                          <w:color w:val="auto"/>
                                          <w:sz w:val="21"/>
                                          <w:szCs w:val="21"/>
                                          <w:highlight w:val="none"/>
                                          <w:lang w:val="en-US" w:eastAsia="zh-CN"/>
                                        </w:rPr>
                                        <w:t>356.1</w:t>
                                      </w:r>
                                      <w:bookmarkEnd w:id="165"/>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64" name="直接箭头连接符 149"/>
                                <wps:cNvCnPr/>
                                <wps:spPr>
                                  <a:xfrm>
                                    <a:off x="8821" y="482093"/>
                                    <a:ext cx="1025" cy="0"/>
                                  </a:xfrm>
                                  <a:prstGeom prst="straightConnector1">
                                    <a:avLst/>
                                  </a:prstGeom>
                                  <a:noFill/>
                                  <a:ln w="12700" cap="flat" cmpd="sng" algn="ctr">
                                    <a:solidFill>
                                      <a:srgbClr val="000000"/>
                                    </a:solidFill>
                                    <a:prstDash val="solid"/>
                                    <a:miter lim="800000"/>
                                    <a:headEnd type="none"/>
                                    <a:tailEnd type="triangle" w="med" len="med"/>
                                  </a:ln>
                                  <a:effectLst/>
                                </wps:spPr>
                                <wps:style>
                                  <a:lnRef idx="2">
                                    <a:schemeClr val="accent1"/>
                                  </a:lnRef>
                                  <a:fillRef idx="0">
                                    <a:srgbClr val="FFFFFF"/>
                                  </a:fillRef>
                                  <a:effectRef idx="0">
                                    <a:srgbClr val="FFFFFF"/>
                                  </a:effectRef>
                                  <a:fontRef idx="minor">
                                    <a:schemeClr val="tx1"/>
                                  </a:fontRef>
                                </wps:style>
                                <wps:bodyPr/>
                              </wps:wsp>
                            </wpg:grpSp>
                          </wpg:wgp>
                        </a:graphicData>
                      </a:graphic>
                    </wp:anchor>
                  </w:drawing>
                </mc:Choice>
                <mc:Fallback>
                  <w:pict>
                    <v:group id="_x0000_s1026" o:spid="_x0000_s1026" o:spt="203" style="position:absolute;left:0pt;margin-left:-8.35pt;margin-top:7.1pt;height:344.55pt;width:404.9pt;z-index:251663360;mso-width-relative:page;mso-height-relative:page;" coordorigin="7642,479818" coordsize="8098,6891" o:gfxdata="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">
                      <o:lock v:ext="edit" aspectratio="f"/>
                      <v:shape id="_x0000_s1026" o:spid="_x0000_s1026" o:spt="202" type="#_x0000_t202" style="position:absolute;left:10736;top:479818;height:465;width:1252;" filled="f" stroked="f" coordsize="21600,21600" o:gfxdata="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kf1Hu&#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pPr>
                                <w:jc w:val="center"/>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损耗</w:t>
                              </w:r>
                              <w:r>
                                <w:rPr>
                                  <w:rFonts w:hint="eastAsia" w:ascii="Times New Roman" w:hAnsi="Times New Roman" w:eastAsia="宋体" w:cs="Times New Roman"/>
                                  <w:sz w:val="21"/>
                                  <w:lang w:val="en-US" w:eastAsia="zh-CN"/>
                                </w:rPr>
                                <w:t>7.28</w:t>
                              </w:r>
                            </w:p>
                          </w:txbxContent>
                        </v:textbox>
                      </v:shape>
                      <v:shape id="_x0000_s1026" o:spid="_x0000_s1026" o:spt="32" type="#_x0000_t32" style="position:absolute;left:10440;top:480137;flip:y;height:362;width:361;" filled="f" stroked="t" coordsize="21600,21600" o:gfxdata="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IQvCi8AAAA&#10;3AAAAA8AAAAAAAAAAQAgAAAAIgAAAGRycy9kb3ducmV2LnhtbFBLAQIUABQAAAAIAIdO4kAzLwWe&#10;OwAAADkAAAAQAAAAAAAAAAEAIAAAAAsBAABkcnMvc2hhcGV4bWwueG1sUEsFBgAAAAAGAAYAWwEA&#10;ALUDAAAAAA==&#10;">
                        <v:fill on="f" focussize="0,0"/>
                        <v:stroke weight="1pt" color="#000000 [3204]" miterlimit="8" joinstyle="miter" dashstyle="dash" endarrow="block"/>
                        <v:imagedata o:title=""/>
                        <o:lock v:ext="edit" aspectratio="f"/>
                      </v:shape>
                      <v:shape id="_x0000_s1026" o:spid="_x0000_s1026" o:spt="202" type="#_x0000_t202" style="position:absolute;left:12244;top:480307;height:868;width:3497;" filled="f" stroked="f" coordsize="21600,21600" o:gfxdata="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FqArsAAADc&#10;AAAADwAAAAAAAAABACAAAAAiAAAAZHJzL2Rvd25yZXYueG1sUEsBAhQAFAAAAAgAh07iQDMvBZ47&#10;AAAAOQAAABAAAAAAAAAAAQAgAAAACgEAAGRycy9zaGFwZXhtbC54bWxQSwUGAAAAAAYABgBbAQAA&#10;tAMAAAAA&#10;">
                        <v:fill on="f" focussize="0,0"/>
                        <v:stroke on="f" weight="0.5pt"/>
                        <v:imagedata o:title=""/>
                        <o:lock v:ext="edit" aspectratio="f"/>
                        <v:textbox>
                          <w:txbxContent>
                            <w:p>
                              <w:pPr>
                                <w:rPr>
                                  <w:rFonts w:hint="eastAsia" w:ascii="Calibri" w:hAnsi="Calibri" w:eastAsia="宋体" w:cs="Times New Roman"/>
                                  <w:sz w:val="21"/>
                                  <w:lang w:val="en-US" w:eastAsia="zh-CN"/>
                                </w:rPr>
                              </w:pPr>
                              <w:r>
                                <w:rPr>
                                  <w:rFonts w:hint="eastAsia" w:ascii="Calibri" w:hAnsi="Calibri" w:eastAsia="宋体" w:cs="Times New Roman"/>
                                  <w:sz w:val="21"/>
                                  <w:lang w:val="en-US" w:eastAsia="zh-CN"/>
                                </w:rPr>
                                <w:t>清运至呼图壁县丰泉</w:t>
                              </w:r>
                            </w:p>
                            <w:p>
                              <w:pPr>
                                <w:rPr>
                                  <w:rFonts w:hint="default" w:ascii="Calibri" w:hAnsi="Calibri" w:eastAsia="宋体" w:cs="Times New Roman"/>
                                  <w:sz w:val="21"/>
                                  <w:lang w:val="en-US" w:eastAsia="zh-CN"/>
                                </w:rPr>
                              </w:pPr>
                              <w:r>
                                <w:rPr>
                                  <w:rFonts w:hint="eastAsia" w:ascii="Calibri" w:hAnsi="Calibri" w:eastAsia="宋体" w:cs="Times New Roman"/>
                                  <w:sz w:val="21"/>
                                  <w:lang w:val="en-US" w:eastAsia="zh-CN"/>
                                </w:rPr>
                                <w:t>污水处理厂</w:t>
                              </w:r>
                            </w:p>
                          </w:txbxContent>
                        </v:textbox>
                      </v:shape>
                      <v:shape id="_x0000_s1026" o:spid="_x0000_s1026" o:spt="202" type="#_x0000_t202" style="position:absolute;left:11022;top:480282;height:465;width:1252;" filled="f" stroked="f" coordsize="21600,21600" o:gfxdata="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Stz5m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pPr>
                                <w:jc w:val="center"/>
                                <w:rPr>
                                  <w:rFonts w:hint="default" w:ascii="Times New Roman" w:hAnsi="Times New Roman" w:eastAsia="宋体" w:cs="Times New Roman"/>
                                  <w:sz w:val="21"/>
                                  <w:lang w:val="en-US" w:eastAsia="zh-CN"/>
                                </w:rPr>
                              </w:pPr>
                              <w:r>
                                <w:rPr>
                                  <w:rFonts w:hint="eastAsia" w:ascii="Times New Roman" w:hAnsi="Times New Roman" w:eastAsia="宋体" w:cs="Times New Roman"/>
                                  <w:sz w:val="21"/>
                                  <w:lang w:val="en-US" w:eastAsia="zh-CN"/>
                                </w:rPr>
                                <w:t>29.12</w:t>
                              </w:r>
                            </w:p>
                          </w:txbxContent>
                        </v:textbox>
                      </v:shape>
                      <v:shape id="_x0000_s1026" o:spid="_x0000_s1026" o:spt="202" type="#_x0000_t202" style="position:absolute;left:9907;top:480434;height:503;width:1403;" filled="f" stroked="f" coordsize="21600,21600" o:gfxdata="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tEV+2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pPr>
                                <w:rPr>
                                  <w:rFonts w:hint="default" w:ascii="Calibri" w:hAnsi="Calibri" w:eastAsia="宋体" w:cs="Times New Roman"/>
                                  <w:sz w:val="21"/>
                                  <w:lang w:val="en-US" w:eastAsia="zh-CN"/>
                                </w:rPr>
                              </w:pPr>
                              <w:r>
                                <w:rPr>
                                  <w:rFonts w:hint="eastAsia" w:ascii="Calibri" w:hAnsi="Calibri" w:eastAsia="宋体" w:cs="Times New Roman"/>
                                  <w:sz w:val="21"/>
                                  <w:lang w:val="en-US" w:eastAsia="zh-CN"/>
                                </w:rPr>
                                <w:t>防渗储集池</w:t>
                              </w:r>
                            </w:p>
                          </w:txbxContent>
                        </v:textbox>
                      </v:shape>
                      <v:shape id="_x0000_s1026" o:spid="_x0000_s1026" o:spt="202" type="#_x0000_t202" style="position:absolute;left:8726;top:480296;height:764;width:1265;" filled="f" stroked="f" coordsize="21600,21600" o:gfxdata="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0CPJ2vQAA&#10;ANw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pPr>
                                <w:jc w:val="center"/>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生活用水36.4</w:t>
                              </w:r>
                            </w:p>
                          </w:txbxContent>
                        </v:textbox>
                      </v:shape>
                      <v:shape id="_x0000_s1026" o:spid="_x0000_s1026" o:spt="202" type="#_x0000_t202" style="position:absolute;left:7642;top:482117;height:764;width:1047;" filled="f" stroked="f" coordsize="21600,21600" o:gfxdata="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NpsAb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jc w:val="center"/>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总用水1859.7</w:t>
                              </w:r>
                            </w:p>
                          </w:txbxContent>
                        </v:textbox>
                      </v:shape>
                      <v:shape id="_x0000_s1026" o:spid="_x0000_s1026" o:spt="202" type="#_x0000_t202" style="position:absolute;left:7698;top:486221;height:489;width:1177;" filled="f" stroked="f" coordsize="21600,21600" o:gfxdata="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ucZ5rsAAADb&#10;AAAADwAAAAAAAAABACAAAAAiAAAAZHJzL2Rvd25yZXYueG1sUEsBAhQAFAAAAAgAh07iQDMvBZ47&#10;AAAAOQAAABAAAAAAAAAAAQAgAAAACgEAAGRycy9zaGFwZXhtbC54bWxQSwUGAAAAAAYABgBbAQAA&#10;tAMAAAAA&#10;">
                        <v:fill on="f" focussize="0,0"/>
                        <v:stroke on="f" weight="0.5pt"/>
                        <v:imagedata o:title=""/>
                        <o:lock v:ext="edit" aspectratio="f"/>
                        <v:textbox>
                          <w:txbxContent>
                            <w:p>
                              <w:pPr>
                                <w:jc w:val="center"/>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单位：m</w:t>
                              </w:r>
                              <w:r>
                                <w:rPr>
                                  <w:rFonts w:hint="default" w:ascii="Times New Roman" w:hAnsi="Times New Roman" w:eastAsia="宋体" w:cs="Times New Roman"/>
                                  <w:sz w:val="21"/>
                                  <w:vertAlign w:val="superscript"/>
                                  <w:lang w:val="en-US" w:eastAsia="zh-CN"/>
                                </w:rPr>
                                <w:t>3</w:t>
                              </w:r>
                            </w:p>
                          </w:txbxContent>
                        </v:textbox>
                      </v:shape>
                      <v:shape id="_x0000_s1026" o:spid="_x0000_s1026" o:spt="202" type="#_x0000_t202" style="position:absolute;left:10203;top:484937;height:476;width:1252;" filled="f" stroked="f" coordsize="21600,21600" o:gfxdata="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aCV3o&#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pPr>
                                <w:jc w:val="center"/>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损耗500</w:t>
                              </w:r>
                            </w:p>
                          </w:txbxContent>
                        </v:textbox>
                      </v:shape>
                      <v:shape id="_x0000_s1026" o:spid="_x0000_s1026" o:spt="32" type="#_x0000_t32" style="position:absolute;left:10440;top:484148;flip:y;height:362;width:361;" filled="f" stroked="t" coordsize="21600,21600" o:gfxdata="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xmsC68AAAA&#10;3AAAAA8AAAAAAAAAAQAgAAAAIgAAAGRycy9kb3ducmV2LnhtbFBLAQIUABQAAAAIAIdO4kAzLwWe&#10;OwAAADkAAAAQAAAAAAAAAAEAIAAAAAsBAABkcnMvc2hhcGV4bWwueG1sUEsFBgAAAAAGAAYAWwEA&#10;ALUDAAAAAA==&#10;">
                        <v:fill on="f" focussize="0,0"/>
                        <v:stroke weight="1pt" color="#000000 [3204]" miterlimit="8" joinstyle="miter" dashstyle="dash" endarrow="block"/>
                        <v:imagedata o:title=""/>
                        <o:lock v:ext="edit" aspectratio="f"/>
                      </v:shape>
                      <v:shape id="_x0000_s1026" o:spid="_x0000_s1026" o:spt="32" type="#_x0000_t32" style="position:absolute;left:10464;top:485281;flip:y;height:362;width:361;" filled="f" stroked="t" coordsize="21600,21600" o:gfxdata="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iFj26/&#10;AAAA3AAAAA8AAAAAAAAAAQAgAAAAIgAAAGRycy9kb3ducmV2LnhtbFBLAQIUABQAAAAIAIdO4kAz&#10;LwWeOwAAADkAAAAQAAAAAAAAAAEAIAAAAA4BAABkcnMvc2hhcGV4bWwueG1sUEsFBgAAAAAGAAYA&#10;WwEAALgDAAAAAA==&#10;">
                        <v:fill on="f" focussize="0,0"/>
                        <v:stroke weight="1pt" color="#000000 [3204]" miterlimit="8" joinstyle="miter" dashstyle="dash" endarrow="block"/>
                        <v:imagedata o:title=""/>
                        <o:lock v:ext="edit" aspectratio="f"/>
                      </v:shape>
                      <v:shape id="_x0000_s1026" o:spid="_x0000_s1026" o:spt="202" type="#_x0000_t202" style="position:absolute;left:12385;top:484273;height:720;width:3030;" filled="f" stroked="f" coordsize="21600,21600" o:gfxdata="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3iNlL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rPr>
                                  <w:rFonts w:hint="eastAsia" w:ascii="Calibri" w:hAnsi="Calibri" w:eastAsia="宋体" w:cs="Times New Roman"/>
                                  <w:sz w:val="21"/>
                                  <w:lang w:val="en-US" w:eastAsia="zh-CN"/>
                                </w:rPr>
                              </w:pPr>
                              <w:r>
                                <w:rPr>
                                  <w:rFonts w:hint="eastAsia" w:ascii="Calibri" w:hAnsi="Calibri" w:eastAsia="宋体" w:cs="Times New Roman"/>
                                  <w:sz w:val="21"/>
                                  <w:lang w:val="en-US" w:eastAsia="zh-CN"/>
                                </w:rPr>
                                <w:t>石西集中处理站采出水</w:t>
                              </w:r>
                            </w:p>
                            <w:p>
                              <w:pPr>
                                <w:rPr>
                                  <w:rFonts w:hint="eastAsia" w:ascii="Calibri" w:hAnsi="Calibri" w:eastAsia="宋体" w:cs="Times New Roman"/>
                                  <w:sz w:val="21"/>
                                  <w:lang w:val="en-US" w:eastAsia="zh-CN"/>
                                </w:rPr>
                              </w:pPr>
                              <w:r>
                                <w:rPr>
                                  <w:rFonts w:hint="eastAsia" w:ascii="Calibri" w:hAnsi="Calibri" w:eastAsia="宋体" w:cs="Times New Roman"/>
                                  <w:sz w:val="21"/>
                                  <w:lang w:val="en-US" w:eastAsia="zh-CN"/>
                                </w:rPr>
                                <w:t>处理系统处理</w:t>
                              </w:r>
                            </w:p>
                          </w:txbxContent>
                        </v:textbox>
                      </v:shape>
                      <v:shape id="_x0000_s1026" o:spid="_x0000_s1026" o:spt="202" type="#_x0000_t202" style="position:absolute;left:11184;top:484228;height:465;width:1252;" filled="f" stroked="f" coordsize="21600,21600" o:gfxdata="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7qYqi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pPr>
                                <w:jc w:val="center"/>
                                <w:rPr>
                                  <w:rFonts w:hint="default" w:ascii="Times New Roman" w:hAnsi="Times New Roman" w:eastAsia="宋体" w:cs="Times New Roman"/>
                                  <w:sz w:val="21"/>
                                  <w:lang w:val="en-US" w:eastAsia="zh-CN"/>
                                </w:rPr>
                              </w:pPr>
                              <w:r>
                                <w:rPr>
                                  <w:rFonts w:hint="eastAsia" w:ascii="Times New Roman" w:hAnsi="Times New Roman" w:eastAsia="宋体" w:cs="Times New Roman"/>
                                  <w:sz w:val="21"/>
                                  <w:lang w:val="en-US" w:eastAsia="zh-CN"/>
                                </w:rPr>
                                <w:t>285</w:t>
                              </w:r>
                            </w:p>
                          </w:txbxContent>
                        </v:textbox>
                      </v:shape>
                      <v:shape id="_x0000_s1026" o:spid="_x0000_s1026" o:spt="32" type="#_x0000_t32" style="position:absolute;left:11359;top:484610;height:0;width:1025;" filled="f" stroked="t" coordsize="21600,21600" o:gfxdata="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HWK27sAAADc&#10;AAAADwAAAAAAAAABACAAAAAiAAAAZHJzL2Rvd25yZXYueG1sUEsBAhQAFAAAAAgAh07iQDMvBZ47&#10;AAAAOQAAABAAAAAAAAAAAQAgAAAACgEAAGRycy9zaGFwZXhtbC54bWxQSwUGAAAAAAYABgBbAQAA&#10;tAMAAAAA&#10;">
                        <v:fill on="f" focussize="0,0"/>
                        <v:stroke weight="1pt" color="#000000 [3204]" miterlimit="8" joinstyle="miter" endarrow="block"/>
                        <v:imagedata o:title=""/>
                        <o:lock v:ext="edit" aspectratio="f"/>
                      </v:shape>
                      <v:shape id="_x0000_s1026" o:spid="_x0000_s1026" o:spt="202" type="#_x0000_t202" style="position:absolute;left:9924;top:484340;height:503;width:1578;" filled="f" stroked="f" coordsize="21600,21600" o:gfxdata="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XRZRL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rPr>
                                  <w:rFonts w:hint="default" w:ascii="Calibri" w:hAnsi="Calibri" w:eastAsia="宋体" w:cs="Times New Roman"/>
                                  <w:sz w:val="21"/>
                                  <w:lang w:val="en-US" w:eastAsia="zh-CN"/>
                                </w:rPr>
                              </w:pPr>
                              <w:r>
                                <w:rPr>
                                  <w:rFonts w:hint="eastAsia" w:ascii="Calibri" w:hAnsi="Calibri" w:eastAsia="宋体" w:cs="Times New Roman"/>
                                  <w:sz w:val="21"/>
                                  <w:lang w:val="en-US" w:eastAsia="zh-CN"/>
                                </w:rPr>
                                <w:t>井场专用储罐</w:t>
                              </w:r>
                            </w:p>
                          </w:txbxContent>
                        </v:textbox>
                      </v:shape>
                      <v:shape id="_x0000_s1026" o:spid="_x0000_s1026" o:spt="202" type="#_x0000_t202" style="position:absolute;left:12348;top:485458;height:736;width:3196;" filled="f" stroked="f" coordsize="21600,21600" o:gfxdata="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6dwTC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pPr>
                                <w:rPr>
                                  <w:rFonts w:hint="eastAsia" w:ascii="Calibri" w:hAnsi="Calibri" w:eastAsia="宋体" w:cs="Times New Roman"/>
                                  <w:sz w:val="21"/>
                                  <w:lang w:val="en-US" w:eastAsia="zh-CN"/>
                                </w:rPr>
                              </w:pPr>
                              <w:r>
                                <w:rPr>
                                  <w:rFonts w:hint="eastAsia" w:ascii="Calibri" w:hAnsi="Calibri" w:eastAsia="宋体" w:cs="Times New Roman"/>
                                  <w:sz w:val="21"/>
                                  <w:lang w:val="en-US" w:eastAsia="zh-CN"/>
                                </w:rPr>
                                <w:t>石西集中处理站采出水</w:t>
                              </w:r>
                            </w:p>
                            <w:p>
                              <w:pPr>
                                <w:rPr>
                                  <w:rFonts w:hint="eastAsia" w:ascii="Calibri" w:hAnsi="Calibri" w:eastAsia="宋体" w:cs="Times New Roman"/>
                                  <w:sz w:val="21"/>
                                  <w:lang w:val="en-US" w:eastAsia="zh-CN"/>
                                </w:rPr>
                              </w:pPr>
                              <w:r>
                                <w:rPr>
                                  <w:rFonts w:hint="eastAsia" w:ascii="Calibri" w:hAnsi="Calibri" w:eastAsia="宋体" w:cs="Times New Roman"/>
                                  <w:sz w:val="21"/>
                                  <w:lang w:val="en-US" w:eastAsia="zh-CN"/>
                                </w:rPr>
                                <w:t>处理系统处理</w:t>
                              </w:r>
                            </w:p>
                          </w:txbxContent>
                        </v:textbox>
                      </v:shape>
                      <v:shape id="_x0000_s1026" o:spid="_x0000_s1026" o:spt="202" type="#_x0000_t202" style="position:absolute;left:11172;top:485447;height:465;width:1252;" filled="f" stroked="f" coordsize="21600,21600" o:gfxdata="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HRZKu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pPr>
                                <w:jc w:val="center"/>
                                <w:rPr>
                                  <w:rFonts w:hint="default" w:ascii="Times New Roman" w:hAnsi="Times New Roman" w:eastAsia="宋体" w:cs="Times New Roman"/>
                                  <w:sz w:val="21"/>
                                  <w:lang w:val="en-US" w:eastAsia="zh-CN"/>
                                </w:rPr>
                              </w:pPr>
                              <w:r>
                                <w:rPr>
                                  <w:rFonts w:hint="eastAsia" w:ascii="Times New Roman" w:hAnsi="Times New Roman" w:eastAsia="宋体" w:cs="Times New Roman"/>
                                  <w:sz w:val="21"/>
                                  <w:lang w:val="en-US" w:eastAsia="zh-CN"/>
                                </w:rPr>
                                <w:t>500</w:t>
                              </w:r>
                            </w:p>
                          </w:txbxContent>
                        </v:textbox>
                      </v:shape>
                      <v:shape id="_x0000_s1026" o:spid="_x0000_s1026" o:spt="32" type="#_x0000_t32" style="position:absolute;left:11321;top:485810;height:0;width:1025;" filled="f" stroked="t" coordsize="21600,21600" o:gfxdata="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sAilDvQAA&#10;ANwAAAAPAAAAAAAAAAEAIAAAACIAAABkcnMvZG93bnJldi54bWxQSwECFAAUAAAACACHTuJAMy8F&#10;njsAAAA5AAAAEAAAAAAAAAABACAAAAAMAQAAZHJzL3NoYXBleG1sLnhtbFBLBQYAAAAABgAGAFsB&#10;AAC2AwAAAAA=&#10;">
                        <v:fill on="f" focussize="0,0"/>
                        <v:stroke weight="1pt" color="#000000 [3204]" miterlimit="8" joinstyle="miter" endarrow="block"/>
                        <v:imagedata o:title=""/>
                        <o:lock v:ext="edit" aspectratio="f"/>
                      </v:shape>
                      <v:shape id="_x0000_s1026" o:spid="_x0000_s1026" o:spt="202" type="#_x0000_t202" style="position:absolute;left:9861;top:485573;height:503;width:1728;" filled="f" stroked="f" coordsize="21600,21600" o:gfxdata="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f0Ms1&#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pPr>
                                <w:rPr>
                                  <w:rFonts w:hint="default" w:ascii="Calibri" w:hAnsi="Calibri" w:eastAsia="宋体" w:cs="Times New Roman"/>
                                  <w:sz w:val="21"/>
                                  <w:lang w:val="en-US" w:eastAsia="zh-CN"/>
                                </w:rPr>
                              </w:pPr>
                              <w:r>
                                <w:rPr>
                                  <w:rFonts w:hint="eastAsia" w:ascii="Calibri" w:hAnsi="Calibri" w:eastAsia="宋体" w:cs="Times New Roman"/>
                                  <w:sz w:val="21"/>
                                  <w:lang w:val="en-US" w:eastAsia="zh-CN"/>
                                </w:rPr>
                                <w:t>井场专用储罐</w:t>
                              </w:r>
                            </w:p>
                          </w:txbxContent>
                        </v:textbox>
                      </v:shape>
                      <v:shape id="_x0000_s1026" o:spid="_x0000_s1026" o:spt="32" type="#_x0000_t32" style="position:absolute;left:11208;top:480643;height:0;width:1025;" filled="f" stroked="t" coordsize="21600,21600" o:gfxdata="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z9cPbsAAADc&#10;AAAADwAAAAAAAAABACAAAAAiAAAAZHJzL2Rvd25yZXYueG1sUEsBAhQAFAAAAAgAh07iQDMvBZ47&#10;AAAAOQAAABAAAAAAAAAAAQAgAAAACgEAAGRycy9zaGFwZXhtbC54bWxQSwUGAAAAAAYABgBbAQAA&#10;tAMAAAAA&#10;">
                        <v:fill on="f" focussize="0,0"/>
                        <v:stroke weight="1pt" color="#000000 [3204]" miterlimit="8" joinstyle="miter" endarrow="block"/>
                        <v:imagedata o:title=""/>
                        <o:lock v:ext="edit" aspectratio="f"/>
                      </v:shape>
                      <v:shape id="_x0000_s1026" o:spid="_x0000_s1026" o:spt="202" type="#_x0000_t202" style="position:absolute;left:8713;top:485479;height:764;width:1351;" filled="f" stroked="f" coordsize="21600,21600" o:gfxdata="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puyTb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jc w:val="center"/>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压裂液用水1000</w:t>
                              </w:r>
                            </w:p>
                          </w:txbxContent>
                        </v:textbox>
                      </v:shape>
                      <v:shape id="_x0000_s1026" o:spid="_x0000_s1026" o:spt="202" type="#_x0000_t202" style="position:absolute;left:8678;top:484180;height:764;width:1377;" filled="f" stroked="f" coordsize="21600,21600" o:gfxdata="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kFiaG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pPr>
                                <w:jc w:val="center"/>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洗井液用水300</w:t>
                              </w:r>
                            </w:p>
                          </w:txbxContent>
                        </v:textbox>
                      </v:shape>
                      <v:shape id="_x0000_s1026" o:spid="_x0000_s1026" o:spt="32" type="#_x0000_t32" style="position:absolute;left:8821;top:484577;height:0;width:1025;" filled="f" stroked="t" coordsize="21600,21600" o:gfxdata="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QEWj68AAAA&#10;3AAAAA8AAAAAAAAAAQAgAAAAIgAAAGRycy9kb3ducmV2LnhtbFBLAQIUABQAAAAIAIdO4kAzLwWe&#10;OwAAADkAAAAQAAAAAAAAAAEAIAAAAAsBAABkcnMvc2hhcGV4bWwueG1sUEsFBgAAAAAGAAYAWwEA&#10;ALUDAAAAAA==&#10;">
                        <v:fill on="f" focussize="0,0"/>
                        <v:stroke weight="1pt" color="#000000 [3204]" miterlimit="8" joinstyle="miter" endarrow="block"/>
                        <v:imagedata o:title=""/>
                        <o:lock v:ext="edit" aspectratio="f"/>
                      </v:shape>
                      <v:shape id="_x0000_s1026" o:spid="_x0000_s1026" o:spt="32" type="#_x0000_t32" style="position:absolute;left:8821;top:485843;height:0;width:1025;" filled="f" stroked="t" coordsize="21600,21600" o:gfxdata="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Wbzky/&#10;AAAA3AAAAA8AAAAAAAAAAQAgAAAAIgAAAGRycy9kb3ducmV2LnhtbFBLAQIUABQAAAAIAIdO4kAz&#10;LwWeOwAAADkAAAAQAAAAAAAAAAEAIAAAAA4BAABkcnMvc2hhcGV4bWwueG1sUEsFBgAAAAAGAAYA&#10;WwEAALgDAAAAAA==&#10;">
                        <v:fill on="f" focussize="0,0"/>
                        <v:stroke weight="1pt" color="#000000 [3204]" miterlimit="8" joinstyle="miter" endarrow="block"/>
                        <v:imagedata o:title=""/>
                        <o:lock v:ext="edit" aspectratio="f"/>
                      </v:shape>
                      <v:shape id="_x0000_s1026" o:spid="_x0000_s1026" o:spt="202" type="#_x0000_t202" style="position:absolute;left:10976;top:481708;height:465;width:1252;" filled="f" stroked="f" coordsize="21600,21600" o:gfxdata="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ED+ty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pPr>
                                <w:jc w:val="center"/>
                                <w:rPr>
                                  <w:rFonts w:hint="default" w:ascii="Times New Roman" w:hAnsi="Times New Roman" w:eastAsia="宋体" w:cs="Times New Roman"/>
                                  <w:sz w:val="21"/>
                                  <w:lang w:val="en-US" w:eastAsia="zh-CN"/>
                                </w:rPr>
                              </w:pPr>
                              <w:r>
                                <w:rPr>
                                  <w:rFonts w:hint="eastAsia" w:ascii="Times New Roman" w:hAnsi="Times New Roman" w:eastAsia="宋体" w:cs="Times New Roman"/>
                                  <w:sz w:val="21"/>
                                  <w:lang w:val="en-US" w:eastAsia="zh-CN"/>
                                </w:rPr>
                                <w:t>66.88</w:t>
                              </w:r>
                            </w:p>
                          </w:txbxContent>
                        </v:textbox>
                      </v:shape>
                      <v:shape id="_x0000_s1026" o:spid="_x0000_s1026" o:spt="202" type="#_x0000_t202" style="position:absolute;left:12127;top:481847;height:503;width:2952;" filled="f" stroked="f" coordsize="21600,21600" o:gfxdata="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Jxurr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rPr>
                                  <w:rFonts w:hint="default" w:ascii="Calibri" w:hAnsi="Calibri" w:eastAsia="宋体" w:cs="Times New Roman"/>
                                  <w:sz w:val="21"/>
                                  <w:lang w:val="en-US" w:eastAsia="zh-CN"/>
                                </w:rPr>
                              </w:pPr>
                              <w:bookmarkStart w:id="163" w:name="OLE_LINK46"/>
                              <w:r>
                                <w:rPr>
                                  <w:rFonts w:hint="eastAsia" w:ascii="Calibri" w:hAnsi="Calibri" w:eastAsia="宋体" w:cs="Times New Roman"/>
                                  <w:sz w:val="21"/>
                                  <w:lang w:val="en-US" w:eastAsia="zh-CN"/>
                                </w:rPr>
                                <w:t>用于下一井场钻井液配置</w:t>
                              </w:r>
                            </w:p>
                            <w:bookmarkEnd w:id="163"/>
                            <w:p>
                              <w:pPr>
                                <w:rPr>
                                  <w:rFonts w:hint="default" w:ascii="Times New Roman" w:hAnsi="Times New Roman" w:eastAsia="宋体" w:cs="Times New Roman"/>
                                  <w:lang w:val="en-US" w:eastAsia="zh-CN"/>
                                </w:rPr>
                              </w:pPr>
                            </w:p>
                          </w:txbxContent>
                        </v:textbox>
                      </v:shape>
                      <v:shape id="_x0000_s1026" o:spid="_x0000_s1026" o:spt="202" type="#_x0000_t202" style="position:absolute;left:10165;top:481230;height:465;width:1498;" filled="f" stroked="f" coordsize="21600,21600" o:gfxdata="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TN0fS8AAAA&#10;2w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pPr>
                                <w:jc w:val="center"/>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损耗</w:t>
                              </w:r>
                              <w:r>
                                <w:rPr>
                                  <w:rFonts w:hint="eastAsia" w:ascii="Times New Roman" w:hAnsi="Times New Roman" w:eastAsia="宋体" w:cs="Times New Roman"/>
                                  <w:sz w:val="21"/>
                                  <w:lang w:val="en-US" w:eastAsia="zh-CN"/>
                                </w:rPr>
                                <w:t>100.32</w:t>
                              </w:r>
                            </w:p>
                          </w:txbxContent>
                        </v:textbox>
                      </v:shape>
                      <v:shape id="_x0000_s1026" o:spid="_x0000_s1026" o:spt="32" type="#_x0000_t32" style="position:absolute;left:10426;top:481593;flip:y;height:362;width:361;" filled="f" stroked="t" coordsize="21600,21600" o:gfxdata="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CD/BO/&#10;AAAA3AAAAA8AAAAAAAAAAQAgAAAAIgAAAGRycy9kb3ducmV2LnhtbFBLAQIUABQAAAAIAIdO4kAz&#10;LwWeOwAAADkAAAAQAAAAAAAAAAEAIAAAAA4BAABkcnMvc2hhcGV4bWwueG1sUEsFBgAAAAAGAAYA&#10;WwEAALgDAAAAAA==&#10;">
                        <v:fill on="f" focussize="0,0"/>
                        <v:stroke weight="1pt" color="#000000 [3204]" miterlimit="8" joinstyle="miter" dashstyle="dash" endarrow="block"/>
                        <v:imagedata o:title=""/>
                        <o:lock v:ext="edit" aspectratio="f"/>
                      </v:shape>
                      <v:shape id="_x0000_s1026" o:spid="_x0000_s1026" o:spt="32" type="#_x0000_t32" style="position:absolute;left:11121;top:482081;height:0;width:1025;" filled="f" stroked="t" coordsize="21600,21600" o:gfxdata="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ShZ9G8AAAA&#10;3AAAAA8AAAAAAAAAAQAgAAAAIgAAAGRycy9kb3ducmV2LnhtbFBLAQIUABQAAAAIAIdO4kAzLwWe&#10;OwAAADkAAAAQAAAAAAAAAAEAIAAAAAsBAABkcnMvc2hhcGV4bWwueG1sUEsFBgAAAAAGAAYAWwEA&#10;ALUDAAAAAA==&#10;">
                        <v:fill on="f" focussize="0,0"/>
                        <v:stroke weight="1pt" color="#000000 [3204]" miterlimit="8" joinstyle="miter" endarrow="block"/>
                        <v:imagedata o:title=""/>
                        <o:lock v:ext="edit" aspectratio="f"/>
                      </v:shape>
                      <v:shape id="_x0000_s1026" o:spid="_x0000_s1026" o:spt="202" type="#_x0000_t202" style="position:absolute;left:9861;top:481847;height:503;width:1403;" filled="f" stroked="f" coordsize="21600,21600" o:gfxdata="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Y+j6K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pPr>
                                <w:rPr>
                                  <w:rFonts w:hint="default" w:ascii="Calibri" w:hAnsi="Calibri" w:eastAsia="宋体" w:cs="Times New Roman"/>
                                  <w:sz w:val="21"/>
                                  <w:lang w:val="en-US" w:eastAsia="zh-CN"/>
                                </w:rPr>
                              </w:pPr>
                              <w:r>
                                <w:rPr>
                                  <w:rFonts w:hint="eastAsia" w:ascii="Calibri" w:hAnsi="Calibri" w:eastAsia="宋体" w:cs="Times New Roman"/>
                                  <w:sz w:val="21"/>
                                  <w:lang w:val="en-US" w:eastAsia="zh-CN"/>
                                </w:rPr>
                                <w:t>不落地系统</w:t>
                              </w:r>
                            </w:p>
                            <w:p>
                              <w:pPr>
                                <w:rPr>
                                  <w:rFonts w:hint="default" w:ascii="Times New Roman" w:hAnsi="Times New Roman" w:eastAsia="宋体" w:cs="Times New Roman"/>
                                  <w:lang w:val="en-US" w:eastAsia="zh-CN"/>
                                </w:rPr>
                              </w:pPr>
                            </w:p>
                          </w:txbxContent>
                        </v:textbox>
                      </v:shape>
                      <v:shape id="_x0000_s1026" o:spid="_x0000_s1026" o:spt="202" type="#_x0000_t202" style="position:absolute;left:8665;top:481717;height:764;width:1377;" filled="f" stroked="f" coordsize="21600,21600" o:gfxdata="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nXF9a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pPr>
                                <w:jc w:val="center"/>
                                <w:rPr>
                                  <w:rFonts w:hint="default"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水基</w:t>
                              </w:r>
                              <w:r>
                                <w:rPr>
                                  <w:rFonts w:hint="default" w:ascii="Times New Roman" w:hAnsi="Times New Roman" w:eastAsia="宋体" w:cs="Times New Roman"/>
                                  <w:color w:val="auto"/>
                                  <w:sz w:val="21"/>
                                  <w:lang w:val="en-US" w:eastAsia="zh-CN"/>
                                </w:rPr>
                                <w:t>钻井液用水</w:t>
                              </w:r>
                              <w:r>
                                <w:rPr>
                                  <w:rFonts w:hint="default" w:ascii="Times New Roman" w:hAnsi="Times New Roman" w:eastAsia="宋体" w:cs="Times New Roman"/>
                                  <w:color w:val="auto"/>
                                  <w:sz w:val="21"/>
                                  <w:szCs w:val="21"/>
                                  <w:highlight w:val="none"/>
                                  <w:lang w:val="en-US" w:eastAsia="zh-CN"/>
                                </w:rPr>
                                <w:t>167.2</w:t>
                              </w:r>
                            </w:p>
                          </w:txbxContent>
                        </v:textbox>
                      </v:shape>
                      <v:shape id="_x0000_s1026" o:spid="_x0000_s1026" o:spt="32" type="#_x0000_t32" style="position:absolute;left:8821;top:482093;height:0;width:1025;" filled="f" stroked="t" coordsize="21600,21600" o:gfxdata="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12vXvQAA&#10;ANwAAAAPAAAAAAAAAAEAIAAAACIAAABkcnMvZG93bnJldi54bWxQSwECFAAUAAAACACHTuJAMy8F&#10;njsAAAA5AAAAEAAAAAAAAAABACAAAAAMAQAAZHJzL3NoYXBleG1sLnhtbFBLBQYAAAAABgAGAFsB&#10;AAC2AwAAAAA=&#10;">
                        <v:fill on="f" focussize="0,0"/>
                        <v:stroke weight="1pt" color="#000000 [3204]" miterlimit="8" joinstyle="miter" endarrow="block"/>
                        <v:imagedata o:title=""/>
                        <o:lock v:ext="edit" aspectratio="f"/>
                      </v:shape>
                      <v:shape id="_x0000_s1026" o:spid="_x0000_s1026" o:spt="32" type="#_x0000_t32" style="position:absolute;left:8811;top:480678;flip:y;height:6;width:1180;" filled="f" stroked="t" coordsize="21600,21600" o:gfxdata="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b8OuL4A&#10;AADcAAAADwAAAAAAAAABACAAAAAiAAAAZHJzL2Rvd25yZXYueG1sUEsBAhQAFAAAAAgAh07iQDMv&#10;BZ47AAAAOQAAABAAAAAAAAAAAQAgAAAADQEAAGRycy9zaGFwZXhtbC54bWxQSwUGAAAAAAYABgBb&#10;AQAAtwMAAAAA&#10;">
                        <v:fill on="f" focussize="0,0"/>
                        <v:stroke weight="1pt" color="#000000 [3204]" miterlimit="8" joinstyle="miter" endarrow="block"/>
                        <v:imagedata o:title=""/>
                        <o:lock v:ext="edit" aspectratio="f"/>
                      </v:shape>
                      <v:line id="_x0000_s1026" o:spid="_x0000_s1026" o:spt="20" style="position:absolute;left:8804;top:480667;height:5172;width:0;" filled="f" stroked="t" coordsize="21600,21600" o:gfxdata="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8wYXfvQAA&#10;ANwAAAAPAAAAAAAAAAEAIAAAACIAAABkcnMvZG93bnJldi54bWxQSwECFAAUAAAACACHTuJAMy8F&#10;njsAAAA5AAAAEAAAAAAAAAABACAAAAAMAQAAZHJzL3NoYXBleG1sLnhtbFBLBQYAAAAABgAGAFsB&#10;AAC2AwAAAAA=&#10;">
                        <v:fill on="f" focussize="0,0"/>
                        <v:stroke weight="1pt" color="#000000 [3204]" miterlimit="8" joinstyle="miter"/>
                        <v:imagedata o:title=""/>
                        <o:lock v:ext="edit" aspectratio="f"/>
                      </v:line>
                      <v:shape id="_x0000_s1026" o:spid="_x0000_s1026" o:spt="32" type="#_x0000_t32" style="position:absolute;left:7759;top:482493;height:0;width:1025;" filled="f" stroked="t" coordsize="21600,21600" o:gfxdata="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qm97vQAA&#10;ANwAAAAPAAAAAAAAAAEAIAAAACIAAABkcnMvZG93bnJldi54bWxQSwECFAAUAAAACACHTuJAMy8F&#10;njsAAAA5AAAAEAAAAAAAAAABACAAAAAMAQAAZHJzL3NoYXBleG1sLnhtbFBLBQYAAAAABgAGAFsB&#10;AAC2AwAAAAA=&#10;">
                        <v:fill on="f" focussize="0,0"/>
                        <v:stroke weight="1pt" color="#000000 [3204]" miterlimit="8" joinstyle="miter" endarrow="block"/>
                        <v:imagedata o:title=""/>
                        <o:lock v:ext="edit" aspectratio="f"/>
                      </v:shape>
                      <v:group id="组合 155" o:spid="_x0000_s1026" o:spt="203" style="position:absolute;left:8655;top:482453;height:1847;width:6064;" coordorigin="8665,481230" coordsize="6064,1847" o:gfxdata="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phPquvwAAANwAAAAPAAAAAAAAAAEAIAAAACIAAABkcnMvZG93bnJldi54&#10;bWxQSwECFAAUAAAACACHTuJAMy8FnjsAAAA5AAAAFQAAAAAAAAABACAAAAAOAQAAZHJzL2dyb3Vw&#10;c2hhcGV4bWwueG1sUEsFBgAAAAAGAAYAYAEAAMsDAAAAAA==&#10;">
                        <o:lock v:ext="edit" aspectratio="f"/>
                        <v:shape id="文本框 127" o:spid="_x0000_s1026" o:spt="202" type="#_x0000_t202" style="position:absolute;left:10129;top:482612;height:465;width:3611;" filled="f" stroked="f" coordsize="21600,21600" o:gfxdata="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NwffL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jc w:val="center"/>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损耗15（设备工艺损耗占比约5%）</w:t>
                                </w:r>
                              </w:p>
                            </w:txbxContent>
                          </v:textbox>
                        </v:shape>
                        <v:shape id="文本框 136" o:spid="_x0000_s1026" o:spt="202" type="#_x0000_t202" style="position:absolute;left:10976;top:481708;height:465;width:1252;" filled="f" stroked="f" coordsize="21600,21600" o:gfxdata="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5C657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jc w:val="center"/>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142.44</w:t>
                                </w:r>
                              </w:p>
                            </w:txbxContent>
                          </v:textbox>
                        </v:shape>
                        <v:shape id="文本框 139" o:spid="_x0000_s1026" o:spt="202" type="#_x0000_t202" style="position:absolute;left:12127;top:481847;height:503;width:2602;" filled="f" stroked="f" coordsize="21600,21600" o:gfxdata="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IPLpW/&#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default" w:ascii="Calibri" w:hAnsi="Calibri" w:eastAsia="宋体" w:cs="Times New Roman"/>
                                    <w:sz w:val="21"/>
                                    <w:lang w:val="en-US" w:eastAsia="zh-CN"/>
                                  </w:rPr>
                                </w:pPr>
                                <w:r>
                                  <w:rPr>
                                    <w:rFonts w:hint="eastAsia" w:ascii="Calibri" w:hAnsi="Calibri" w:eastAsia="宋体" w:cs="Times New Roman"/>
                                    <w:sz w:val="21"/>
                                    <w:lang w:val="en-US" w:eastAsia="zh-CN"/>
                                  </w:rPr>
                                  <w:t>用于下一井场钻井液配置</w:t>
                                </w:r>
                              </w:p>
                              <w:p>
                                <w:pPr>
                                  <w:rPr>
                                    <w:rFonts w:hint="default" w:ascii="Times New Roman" w:hAnsi="Times New Roman" w:eastAsia="宋体" w:cs="Times New Roman"/>
                                    <w:lang w:val="en-US" w:eastAsia="zh-CN"/>
                                  </w:rPr>
                                </w:pPr>
                              </w:p>
                            </w:txbxContent>
                          </v:textbox>
                        </v:shape>
                        <v:shape id="文本框 17" o:spid="_x0000_s1026" o:spt="202" type="#_x0000_t202" style="position:absolute;left:10165;top:481230;height:465;width:1498;" filled="f" stroked="f" coordsize="21600,21600" o:gfxdata="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UOLDr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jc w:val="center"/>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损耗</w:t>
                                </w:r>
                                <w:bookmarkStart w:id="164" w:name="OLE_LINK47"/>
                                <w:r>
                                  <w:rPr>
                                    <w:rFonts w:hint="default" w:ascii="Times New Roman" w:hAnsi="Times New Roman" w:eastAsia="宋体" w:cs="Times New Roman"/>
                                    <w:sz w:val="21"/>
                                    <w:lang w:val="en-US" w:eastAsia="zh-CN"/>
                                  </w:rPr>
                                  <w:t>213.66</w:t>
                                </w:r>
                                <w:bookmarkEnd w:id="164"/>
                              </w:p>
                            </w:txbxContent>
                          </v:textbox>
                        </v:shape>
                        <v:shape id="直接箭头连接符 140" o:spid="_x0000_s1026" o:spt="32" type="#_x0000_t32" style="position:absolute;left:10426;top:481593;flip:y;height:362;width:361;" filled="f" stroked="t" coordsize="21600,21600" o:gfxdata="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s2oHO/&#10;AAAA3AAAAA8AAAAAAAAAAQAgAAAAIgAAAGRycy9kb3ducmV2LnhtbFBLAQIUABQAAAAIAIdO4kAz&#10;LwWeOwAAADkAAAAQAAAAAAAAAAEAIAAAAA4BAABkcnMvc2hhcGV4bWwueG1sUEsFBgAAAAAGAAYA&#10;WwEAALgDAAAAAA==&#10;">
                          <v:fill on="f" focussize="0,0"/>
                          <v:stroke weight="1pt" color="#000000 [3204]" miterlimit="8" joinstyle="miter" dashstyle="dash" endarrow="block"/>
                          <v:imagedata o:title=""/>
                          <o:lock v:ext="edit" aspectratio="f"/>
                        </v:shape>
                        <v:shape id="直接箭头连接符 141" o:spid="_x0000_s1026" o:spt="32" type="#_x0000_t32" style="position:absolute;left:11121;top:482081;height:0;width:1025;" filled="f" stroked="t" coordsize="21600,21600" o:gfxdata="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xQ7sbsAAADc&#10;AAAADwAAAAAAAAABACAAAAAiAAAAZHJzL2Rvd25yZXYueG1sUEsBAhQAFAAAAAgAh07iQDMvBZ47&#10;AAAAOQAAABAAAAAAAAAAAQAgAAAACgEAAGRycy9zaGFwZXhtbC54bWxQSwUGAAAAAAYABgBbAQAA&#10;tAMAAAAA&#10;">
                          <v:fill on="f" focussize="0,0"/>
                          <v:stroke weight="1pt" color="#000000 [3204]" miterlimit="8" joinstyle="miter" endarrow="block"/>
                          <v:imagedata o:title=""/>
                          <o:lock v:ext="edit" aspectratio="f"/>
                        </v:shape>
                        <v:shape id="文本框 142" o:spid="_x0000_s1026" o:spt="202" type="#_x0000_t202" style="position:absolute;left:9861;top:481847;height:503;width:1403;" filled="f" stroked="f" coordsize="21600,21600" o:gfxdata="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YvTwr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rPr>
                                    <w:rFonts w:hint="default" w:ascii="Calibri" w:hAnsi="Calibri" w:eastAsia="宋体" w:cs="Times New Roman"/>
                                    <w:sz w:val="21"/>
                                    <w:lang w:val="en-US" w:eastAsia="zh-CN"/>
                                  </w:rPr>
                                </w:pPr>
                                <w:r>
                                  <w:rPr>
                                    <w:rFonts w:hint="eastAsia" w:ascii="Calibri" w:hAnsi="Calibri" w:eastAsia="宋体" w:cs="Times New Roman"/>
                                    <w:sz w:val="21"/>
                                    <w:lang w:val="en-US" w:eastAsia="zh-CN"/>
                                  </w:rPr>
                                  <w:t>不落地系统</w:t>
                                </w:r>
                              </w:p>
                            </w:txbxContent>
                          </v:textbox>
                        </v:shape>
                        <v:shape id="文本框 145" o:spid="_x0000_s1026" o:spt="202" type="#_x0000_t202" style="position:absolute;left:8665;top:481717;height:764;width:1377;" filled="f" stroked="f" coordsize="21600,21600" o:gfxdata="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LHdlm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pPr>
                                  <w:jc w:val="center"/>
                                  <w:rPr>
                                    <w:rFonts w:hint="default"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油基</w:t>
                                </w:r>
                                <w:r>
                                  <w:rPr>
                                    <w:rFonts w:hint="default" w:ascii="Times New Roman" w:hAnsi="Times New Roman" w:eastAsia="宋体" w:cs="Times New Roman"/>
                                    <w:color w:val="auto"/>
                                    <w:sz w:val="21"/>
                                    <w:lang w:val="en-US" w:eastAsia="zh-CN"/>
                                  </w:rPr>
                                  <w:t>钻井液用水</w:t>
                                </w:r>
                                <w:bookmarkStart w:id="165" w:name="OLE_LINK45"/>
                                <w:r>
                                  <w:rPr>
                                    <w:rFonts w:hint="default" w:ascii="Times New Roman" w:hAnsi="Times New Roman" w:eastAsia="宋体" w:cs="Times New Roman"/>
                                    <w:color w:val="auto"/>
                                    <w:sz w:val="21"/>
                                    <w:szCs w:val="21"/>
                                    <w:highlight w:val="none"/>
                                    <w:lang w:val="en-US" w:eastAsia="zh-CN"/>
                                  </w:rPr>
                                  <w:t>356.1</w:t>
                                </w:r>
                                <w:bookmarkEnd w:id="165"/>
                              </w:p>
                            </w:txbxContent>
                          </v:textbox>
                        </v:shape>
                        <v:shape id="直接箭头连接符 149" o:spid="_x0000_s1026" o:spt="32" type="#_x0000_t32" style="position:absolute;left:8821;top:482093;height:0;width:1025;" filled="f" stroked="t" coordsize="21600,21600" o:gfxdata="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Y5gpvQAA&#10;ANwAAAAPAAAAAAAAAAEAIAAAACIAAABkcnMvZG93bnJldi54bWxQSwECFAAUAAAACACHTuJAMy8F&#10;njsAAAA5AAAAEAAAAAAAAAABACAAAAAMAQAAZHJzL3NoYXBleG1sLnhtbFBLBQYAAAAABgAGAFsB&#10;AAC2AwAAAAA=&#10;">
                          <v:fill on="f" focussize="0,0"/>
                          <v:stroke weight="1pt" color="#000000 [3204]" miterlimit="8" joinstyle="miter" endarrow="block"/>
                          <v:imagedata o:title=""/>
                          <o:lock v:ext="edit" aspectratio="f"/>
                        </v:shape>
                      </v:group>
                    </v:group>
                  </w:pict>
                </mc:Fallback>
              </mc:AlternateContent>
            </w:r>
          </w:p>
          <w:p>
            <w:pPr>
              <w:widowControl/>
              <w:bidi w:val="0"/>
              <w:snapToGrid w:val="0"/>
              <w:spacing w:line="500" w:lineRule="exact"/>
              <w:ind w:firstLine="480" w:firstLineChars="200"/>
              <w:jc w:val="both"/>
              <w:rPr>
                <w:rFonts w:hint="default" w:ascii="Times New Roman" w:hAnsi="Times New Roman" w:eastAsia="宋体" w:cs="Times New Roman"/>
                <w:color w:val="auto"/>
                <w:kern w:val="0"/>
                <w:sz w:val="24"/>
                <w:szCs w:val="24"/>
                <w:highlight w:val="none"/>
                <w:lang w:val="en-US" w:eastAsia="zh-CN" w:bidi="ar-SA"/>
              </w:rPr>
            </w:pPr>
          </w:p>
          <w:p>
            <w:pPr>
              <w:widowControl/>
              <w:bidi w:val="0"/>
              <w:snapToGrid w:val="0"/>
              <w:spacing w:line="500" w:lineRule="exact"/>
              <w:ind w:firstLine="480" w:firstLineChars="200"/>
              <w:jc w:val="both"/>
              <w:rPr>
                <w:rFonts w:hint="default" w:ascii="Times New Roman" w:hAnsi="Times New Roman" w:eastAsia="宋体" w:cs="Times New Roman"/>
                <w:color w:val="auto"/>
                <w:kern w:val="0"/>
                <w:sz w:val="24"/>
                <w:szCs w:val="24"/>
                <w:highlight w:val="none"/>
                <w:lang w:val="en-US" w:eastAsia="zh-CN" w:bidi="ar-SA"/>
              </w:rPr>
            </w:pPr>
          </w:p>
          <w:p>
            <w:pPr>
              <w:widowControl/>
              <w:bidi w:val="0"/>
              <w:snapToGrid w:val="0"/>
              <w:spacing w:line="500" w:lineRule="exact"/>
              <w:ind w:firstLine="480" w:firstLineChars="200"/>
              <w:jc w:val="both"/>
              <w:rPr>
                <w:rFonts w:hint="default" w:ascii="Times New Roman" w:hAnsi="Times New Roman" w:eastAsia="宋体" w:cs="Times New Roman"/>
                <w:color w:val="auto"/>
                <w:kern w:val="0"/>
                <w:sz w:val="24"/>
                <w:szCs w:val="24"/>
                <w:highlight w:val="none"/>
                <w:lang w:val="en-US" w:eastAsia="zh-CN" w:bidi="ar-SA"/>
              </w:rPr>
            </w:pPr>
          </w:p>
          <w:p>
            <w:pPr>
              <w:widowControl/>
              <w:bidi w:val="0"/>
              <w:snapToGrid w:val="0"/>
              <w:spacing w:line="500" w:lineRule="exact"/>
              <w:ind w:firstLine="480" w:firstLineChars="200"/>
              <w:jc w:val="both"/>
              <w:rPr>
                <w:rFonts w:hint="default" w:ascii="Times New Roman" w:hAnsi="Times New Roman" w:eastAsia="宋体" w:cs="Times New Roman"/>
                <w:color w:val="auto"/>
                <w:kern w:val="0"/>
                <w:sz w:val="24"/>
                <w:szCs w:val="24"/>
                <w:highlight w:val="none"/>
                <w:lang w:val="en-US" w:eastAsia="zh-CN" w:bidi="ar-SA"/>
              </w:rPr>
            </w:pPr>
          </w:p>
          <w:p>
            <w:pPr>
              <w:widowControl/>
              <w:bidi w:val="0"/>
              <w:snapToGrid w:val="0"/>
              <w:spacing w:line="500" w:lineRule="exact"/>
              <w:ind w:firstLine="480" w:firstLineChars="200"/>
              <w:jc w:val="both"/>
              <w:rPr>
                <w:rFonts w:hint="default" w:ascii="Times New Roman" w:hAnsi="Times New Roman" w:eastAsia="宋体" w:cs="Times New Roman"/>
                <w:color w:val="auto"/>
                <w:kern w:val="0"/>
                <w:sz w:val="24"/>
                <w:szCs w:val="24"/>
                <w:highlight w:val="none"/>
                <w:lang w:val="en-US" w:eastAsia="zh-CN" w:bidi="ar-SA"/>
              </w:rPr>
            </w:pPr>
          </w:p>
          <w:p>
            <w:pPr>
              <w:widowControl/>
              <w:bidi w:val="0"/>
              <w:snapToGrid w:val="0"/>
              <w:spacing w:line="500" w:lineRule="exact"/>
              <w:ind w:firstLine="480" w:firstLineChars="200"/>
              <w:jc w:val="both"/>
              <w:rPr>
                <w:rFonts w:hint="default" w:ascii="Times New Roman" w:hAnsi="Times New Roman" w:eastAsia="宋体" w:cs="Times New Roman"/>
                <w:color w:val="auto"/>
                <w:kern w:val="0"/>
                <w:sz w:val="24"/>
                <w:szCs w:val="24"/>
                <w:highlight w:val="none"/>
                <w:lang w:val="en-US" w:eastAsia="zh-CN" w:bidi="ar-SA"/>
              </w:rPr>
            </w:pPr>
          </w:p>
          <w:p>
            <w:pPr>
              <w:widowControl/>
              <w:bidi w:val="0"/>
              <w:snapToGrid w:val="0"/>
              <w:spacing w:line="500" w:lineRule="exact"/>
              <w:ind w:firstLine="480" w:firstLineChars="200"/>
              <w:jc w:val="both"/>
              <w:rPr>
                <w:rFonts w:hint="default" w:ascii="Times New Roman" w:hAnsi="Times New Roman" w:eastAsia="宋体" w:cs="Times New Roman"/>
                <w:color w:val="auto"/>
                <w:kern w:val="0"/>
                <w:sz w:val="24"/>
                <w:szCs w:val="24"/>
                <w:highlight w:val="none"/>
                <w:lang w:val="en-US" w:eastAsia="zh-CN" w:bidi="ar-SA"/>
              </w:rPr>
            </w:pPr>
          </w:p>
          <w:p>
            <w:pPr>
              <w:widowControl/>
              <w:bidi w:val="0"/>
              <w:snapToGrid w:val="0"/>
              <w:spacing w:line="500" w:lineRule="exact"/>
              <w:ind w:firstLine="480" w:firstLineChars="200"/>
              <w:jc w:val="both"/>
              <w:rPr>
                <w:rFonts w:hint="default" w:ascii="Times New Roman" w:hAnsi="Times New Roman" w:eastAsia="宋体" w:cs="Times New Roman"/>
                <w:color w:val="auto"/>
                <w:kern w:val="0"/>
                <w:sz w:val="24"/>
                <w:szCs w:val="24"/>
                <w:highlight w:val="none"/>
                <w:lang w:val="en-US" w:eastAsia="zh-CN" w:bidi="ar-SA"/>
              </w:rPr>
            </w:pPr>
          </w:p>
          <w:p>
            <w:pPr>
              <w:widowControl/>
              <w:bidi w:val="0"/>
              <w:snapToGrid w:val="0"/>
              <w:spacing w:line="500" w:lineRule="exact"/>
              <w:ind w:firstLine="480" w:firstLineChars="200"/>
              <w:jc w:val="both"/>
              <w:rPr>
                <w:rFonts w:hint="default" w:ascii="Times New Roman" w:hAnsi="Times New Roman" w:eastAsia="宋体" w:cs="Times New Roman"/>
                <w:color w:val="auto"/>
                <w:kern w:val="0"/>
                <w:sz w:val="24"/>
                <w:szCs w:val="24"/>
                <w:highlight w:val="none"/>
                <w:lang w:val="en-US" w:eastAsia="zh-CN" w:bidi="ar-SA"/>
              </w:rPr>
            </w:pPr>
          </w:p>
          <w:p>
            <w:pPr>
              <w:widowControl/>
              <w:bidi w:val="0"/>
              <w:snapToGrid w:val="0"/>
              <w:spacing w:line="500" w:lineRule="exact"/>
              <w:ind w:firstLine="480" w:firstLineChars="200"/>
              <w:jc w:val="both"/>
              <w:rPr>
                <w:rFonts w:hint="default" w:ascii="Times New Roman" w:hAnsi="Times New Roman" w:eastAsia="宋体" w:cs="Times New Roman"/>
                <w:color w:val="auto"/>
                <w:kern w:val="0"/>
                <w:sz w:val="24"/>
                <w:szCs w:val="24"/>
                <w:highlight w:val="none"/>
                <w:lang w:val="en-US" w:eastAsia="zh-CN" w:bidi="ar-SA"/>
              </w:rPr>
            </w:pPr>
          </w:p>
          <w:p>
            <w:pPr>
              <w:widowControl/>
              <w:bidi w:val="0"/>
              <w:snapToGrid w:val="0"/>
              <w:spacing w:line="500" w:lineRule="exact"/>
              <w:ind w:firstLine="480" w:firstLineChars="200"/>
              <w:jc w:val="both"/>
              <w:rPr>
                <w:rFonts w:hint="default" w:ascii="Times New Roman" w:hAnsi="Times New Roman" w:eastAsia="宋体" w:cs="Times New Roman"/>
                <w:color w:val="auto"/>
                <w:kern w:val="0"/>
                <w:sz w:val="24"/>
                <w:szCs w:val="24"/>
                <w:highlight w:val="none"/>
                <w:lang w:val="en-US" w:eastAsia="zh-CN" w:bidi="ar-SA"/>
              </w:rPr>
            </w:pPr>
          </w:p>
          <w:p>
            <w:pPr>
              <w:widowControl/>
              <w:bidi w:val="0"/>
              <w:snapToGrid w:val="0"/>
              <w:spacing w:line="500" w:lineRule="exact"/>
              <w:ind w:firstLine="480" w:firstLineChars="200"/>
              <w:jc w:val="both"/>
              <w:rPr>
                <w:rFonts w:hint="default" w:ascii="Times New Roman" w:hAnsi="Times New Roman" w:eastAsia="宋体" w:cs="Times New Roman"/>
                <w:color w:val="auto"/>
                <w:kern w:val="0"/>
                <w:sz w:val="24"/>
                <w:szCs w:val="24"/>
                <w:highlight w:val="none"/>
                <w:lang w:val="en-US" w:eastAsia="zh-CN" w:bidi="ar-SA"/>
              </w:rPr>
            </w:pPr>
          </w:p>
          <w:p>
            <w:pPr>
              <w:widowControl/>
              <w:bidi w:val="0"/>
              <w:snapToGrid w:val="0"/>
              <w:spacing w:line="500" w:lineRule="exact"/>
              <w:ind w:firstLine="480" w:firstLineChars="200"/>
              <w:jc w:val="both"/>
              <w:rPr>
                <w:rFonts w:hint="default" w:ascii="Times New Roman" w:hAnsi="Times New Roman" w:eastAsia="宋体" w:cs="Times New Roman"/>
                <w:color w:val="auto"/>
                <w:kern w:val="0"/>
                <w:sz w:val="24"/>
                <w:szCs w:val="24"/>
                <w:highlight w:val="none"/>
                <w:lang w:val="en-US" w:eastAsia="zh-CN" w:bidi="ar-SA"/>
              </w:rPr>
            </w:pPr>
          </w:p>
          <w:p>
            <w:pPr>
              <w:pStyle w:val="56"/>
              <w:bidi w:val="0"/>
              <w:rPr>
                <w:rFonts w:hint="default"/>
                <w:lang w:val="en-US" w:eastAsia="zh-CN"/>
              </w:rPr>
            </w:pPr>
            <w:r>
              <w:rPr>
                <w:rFonts w:hint="eastAsia"/>
                <w:lang w:val="en-US" w:eastAsia="zh-CN"/>
              </w:rPr>
              <w:t>图2-4  水平衡示意图</w:t>
            </w:r>
          </w:p>
          <w:p>
            <w:pPr>
              <w:pStyle w:val="10"/>
              <w:bidi w:val="0"/>
              <w:rPr>
                <w:rFonts w:hint="default"/>
                <w:color w:val="auto"/>
                <w:highlight w:val="none"/>
                <w:lang w:val="en-US" w:eastAsia="zh-CN"/>
              </w:rPr>
            </w:pPr>
          </w:p>
          <w:p>
            <w:pPr>
              <w:pStyle w:val="10"/>
              <w:bidi w:val="0"/>
              <w:rPr>
                <w:rFonts w:hint="default"/>
                <w:color w:val="auto"/>
                <w:highlight w:val="none"/>
                <w:lang w:val="en-US" w:eastAsia="zh-CN"/>
              </w:rPr>
            </w:pPr>
          </w:p>
          <w:p>
            <w:pPr>
              <w:pStyle w:val="10"/>
              <w:bidi w:val="0"/>
              <w:rPr>
                <w:rFonts w:hint="default"/>
                <w:color w:val="auto"/>
                <w:highlight w:val="none"/>
                <w:lang w:val="en-US" w:eastAsia="zh-CN"/>
              </w:rPr>
            </w:pPr>
          </w:p>
          <w:p>
            <w:pPr>
              <w:pStyle w:val="10"/>
              <w:bidi w:val="0"/>
              <w:rPr>
                <w:rFonts w:hint="default"/>
                <w:color w:val="auto"/>
                <w:highlight w:val="none"/>
                <w:lang w:val="en-US" w:eastAsia="zh-CN"/>
              </w:rPr>
            </w:pPr>
          </w:p>
          <w:p>
            <w:pPr>
              <w:pStyle w:val="10"/>
              <w:bidi w:val="0"/>
              <w:rPr>
                <w:rFonts w:hint="default"/>
                <w:color w:val="auto"/>
                <w:highlight w:val="none"/>
                <w:lang w:val="en-US" w:eastAsia="zh-CN"/>
              </w:rPr>
            </w:pPr>
          </w:p>
          <w:p>
            <w:pPr>
              <w:pStyle w:val="10"/>
              <w:bidi w:val="0"/>
              <w:rPr>
                <w:rFonts w:hint="default"/>
                <w:color w:val="auto"/>
                <w:highlight w:val="none"/>
                <w:lang w:val="en-US" w:eastAsia="zh-CN"/>
              </w:rPr>
            </w:pPr>
          </w:p>
          <w:p>
            <w:pPr>
              <w:pStyle w:val="10"/>
              <w:bidi w:val="0"/>
              <w:rPr>
                <w:rFonts w:hint="default"/>
                <w:color w:val="auto"/>
                <w:highlight w:val="none"/>
                <w:lang w:val="en-US" w:eastAsia="zh-CN"/>
              </w:rPr>
            </w:pPr>
            <w:bookmarkStart w:id="166" w:name="_GoBack"/>
            <w:bookmarkEnd w:id="16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228" w:type="pct"/>
            <w:vAlign w:val="center"/>
          </w:tcPr>
          <w:p>
            <w:pPr>
              <w:snapToGrid w:val="0"/>
              <w:spacing w:line="50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其他</w:t>
            </w:r>
          </w:p>
        </w:tc>
        <w:tc>
          <w:tcPr>
            <w:tcW w:w="4771" w:type="pct"/>
            <w:vAlign w:val="center"/>
          </w:tcPr>
          <w:p>
            <w:pPr>
              <w:snapToGrid w:val="0"/>
              <w:spacing w:line="50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无</w:t>
            </w:r>
          </w:p>
        </w:tc>
      </w:tr>
    </w:tbl>
    <w:p>
      <w:pPr>
        <w:pStyle w:val="10"/>
        <w:rPr>
          <w:rFonts w:hint="default" w:ascii="Times New Roman" w:hAnsi="Times New Roman" w:cs="Times New Roman"/>
          <w:color w:val="000000" w:themeColor="text1"/>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3"/>
        <w:rPr>
          <w:rFonts w:hint="default" w:ascii="Times New Roman" w:hAnsi="Times New Roman" w:eastAsia="黑体" w:cs="Times New Roman"/>
          <w:b w:val="0"/>
          <w:bCs/>
          <w:color w:val="000000" w:themeColor="text1"/>
          <w:sz w:val="30"/>
          <w:szCs w:val="30"/>
          <w14:textFill>
            <w14:solidFill>
              <w14:schemeClr w14:val="tx1"/>
            </w14:solidFill>
          </w14:textFill>
        </w:rPr>
      </w:pPr>
      <w:bookmarkStart w:id="62" w:name="_Toc7653"/>
      <w:r>
        <w:rPr>
          <w:rFonts w:hint="default" w:ascii="Times New Roman" w:hAnsi="Times New Roman" w:eastAsia="黑体" w:cs="Times New Roman"/>
          <w:b w:val="0"/>
          <w:bCs/>
          <w:color w:val="000000" w:themeColor="text1"/>
          <w:sz w:val="30"/>
          <w:szCs w:val="30"/>
          <w14:textFill>
            <w14:solidFill>
              <w14:schemeClr w14:val="tx1"/>
            </w14:solidFill>
          </w14:textFill>
        </w:rPr>
        <w:t>三、生态环境现状、保护目标及评价标准</w:t>
      </w:r>
      <w:bookmarkEnd w:id="62"/>
    </w:p>
    <w:tbl>
      <w:tblPr>
        <w:tblStyle w:val="2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76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vAlign w:val="center"/>
          </w:tcPr>
          <w:p>
            <w:pPr>
              <w:snapToGrid w:val="0"/>
              <w:spacing w:line="500" w:lineRule="exact"/>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生态环境现状</w:t>
            </w:r>
          </w:p>
        </w:tc>
        <w:tc>
          <w:tcPr>
            <w:tcW w:w="7646" w:type="dxa"/>
          </w:tcPr>
          <w:p>
            <w:pPr>
              <w:pStyle w:val="54"/>
              <w:numPr>
                <w:ilvl w:val="0"/>
                <w:numId w:val="11"/>
              </w:numPr>
              <w:bidi w:val="0"/>
              <w:ind w:left="9" w:leftChars="0" w:firstLineChars="0"/>
              <w:rPr>
                <w:rFonts w:hint="default"/>
              </w:rPr>
            </w:pPr>
            <w:r>
              <w:rPr>
                <w:rFonts w:hint="default"/>
              </w:rPr>
              <w:t>主体功能区规划</w:t>
            </w:r>
          </w:p>
          <w:p>
            <w:pPr>
              <w:snapToGrid w:val="0"/>
              <w:spacing w:line="500" w:lineRule="exact"/>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本项目所在地</w:t>
            </w:r>
            <w:r>
              <w:rPr>
                <w:rFonts w:hint="eastAsia" w:cs="Times New Roman"/>
                <w:color w:val="000000" w:themeColor="text1"/>
                <w:lang w:val="en-US" w:eastAsia="zh-CN"/>
                <w14:textFill>
                  <w14:solidFill>
                    <w14:schemeClr w14:val="tx1"/>
                  </w14:solidFill>
                </w14:textFill>
              </w:rPr>
              <w:t>昌吉回族自治州呼图壁县</w:t>
            </w:r>
            <w:r>
              <w:rPr>
                <w:rFonts w:hint="default" w:ascii="Times New Roman" w:hAnsi="Times New Roman" w:cs="Times New Roman"/>
                <w:color w:val="000000" w:themeColor="text1"/>
                <w14:textFill>
                  <w14:solidFill>
                    <w14:schemeClr w14:val="tx1"/>
                  </w14:solidFill>
                </w14:textFill>
              </w:rPr>
              <w:t>位于《新疆维吾尔自治区主体功能区规划》中的准噶尔西部荒漠草原生态功能区，属于限制开发区域中的自治区级重点生态功能区。该区域生态系统脆弱或生态功能十分重要，资源环境承载能力较低，不具备大规模高强度工业化城镇化开发的条件，必须把增强生态产品生产能力作为前提条件，从而应该限制进行大规模高强度工业化城镇化开发的区域。</w:t>
            </w:r>
          </w:p>
          <w:p>
            <w:pPr>
              <w:pStyle w:val="10"/>
              <w:bidi w:val="0"/>
              <w:rPr>
                <w:rFonts w:hint="default"/>
                <w:lang w:val="en-US" w:eastAsia="zh-CN"/>
              </w:rPr>
            </w:pPr>
            <w:r>
              <w:rPr>
                <w:rFonts w:hint="eastAsia"/>
                <w:lang w:val="en-US" w:eastAsia="zh-CN"/>
              </w:rPr>
              <w:t>本项目属于陆地石油勘探项目，不属于大规模、高强度城镇化工业化开发项目，拟部署井占地为临时占地，钻试结束后及时对占地进行清理平整，以利于植被恢复，符合规划要求。</w:t>
            </w:r>
          </w:p>
          <w:p>
            <w:pPr>
              <w:pStyle w:val="54"/>
              <w:numPr>
                <w:ilvl w:val="0"/>
                <w:numId w:val="8"/>
              </w:numPr>
              <w:bidi w:val="0"/>
              <w:ind w:left="9" w:leftChars="0" w:firstLineChars="0"/>
              <w:rPr>
                <w:rFonts w:hint="default"/>
              </w:rPr>
            </w:pPr>
            <w:r>
              <w:rPr>
                <w:rFonts w:hint="default"/>
              </w:rPr>
              <w:t>生态功能区划</w:t>
            </w:r>
          </w:p>
          <w:p>
            <w:pPr>
              <w:pStyle w:val="10"/>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根据《新疆生态功能区划简表》，</w:t>
            </w:r>
            <w:r>
              <w:rPr>
                <w:rFonts w:hint="default" w:ascii="Times New Roman" w:hAnsi="Times New Roman" w:cs="Times New Roman"/>
                <w:b w:val="0"/>
                <w:bCs w:val="0"/>
                <w:color w:val="000000" w:themeColor="text1"/>
                <w:lang w:val="en-US" w:eastAsia="zh-CN"/>
                <w14:textFill>
                  <w14:solidFill>
                    <w14:schemeClr w14:val="tx1"/>
                  </w14:solidFill>
                </w14:textFill>
              </w:rPr>
              <w:t>本项目</w:t>
            </w:r>
            <w:r>
              <w:rPr>
                <w:rFonts w:hint="default" w:ascii="Times New Roman" w:hAnsi="Times New Roman" w:cs="Times New Roman"/>
                <w:b w:val="0"/>
                <w:bCs w:val="0"/>
                <w:color w:val="000000" w:themeColor="text1"/>
                <w14:textFill>
                  <w14:solidFill>
                    <w14:schemeClr w14:val="tx1"/>
                  </w14:solidFill>
                </w14:textFill>
              </w:rPr>
              <w:t>所属生态功能区的主要生态服务功能、主要生态环境问题、主要保护目标和主要发展方向等内容详见表</w:t>
            </w:r>
            <w:r>
              <w:rPr>
                <w:rFonts w:hint="default" w:ascii="Times New Roman" w:hAnsi="Times New Roman" w:cs="Times New Roman"/>
                <w:b w:val="0"/>
                <w:bCs w:val="0"/>
                <w:color w:val="000000" w:themeColor="text1"/>
                <w:lang w:val="en-US" w:eastAsia="zh-CN"/>
                <w14:textFill>
                  <w14:solidFill>
                    <w14:schemeClr w14:val="tx1"/>
                  </w14:solidFill>
                </w14:textFill>
              </w:rPr>
              <w:t>3-1</w:t>
            </w:r>
            <w:r>
              <w:rPr>
                <w:rFonts w:hint="default" w:ascii="Times New Roman" w:hAnsi="Times New Roman" w:cs="Times New Roman"/>
                <w:b w:val="0"/>
                <w:bCs w:val="0"/>
                <w:color w:val="000000" w:themeColor="text1"/>
                <w14:textFill>
                  <w14:solidFill>
                    <w14:schemeClr w14:val="tx1"/>
                  </w14:solidFill>
                </w14:textFill>
              </w:rPr>
              <w:t>，</w:t>
            </w:r>
            <w:r>
              <w:rPr>
                <w:rFonts w:hint="default" w:ascii="Times New Roman" w:hAnsi="Times New Roman" w:cs="Times New Roman"/>
                <w:b w:val="0"/>
                <w:bCs w:val="0"/>
                <w:color w:val="000000" w:themeColor="text1"/>
                <w:lang w:val="en-US" w:eastAsia="zh-CN"/>
                <w14:textFill>
                  <w14:solidFill>
                    <w14:schemeClr w14:val="tx1"/>
                  </w14:solidFill>
                </w14:textFill>
              </w:rPr>
              <w:t>本项目与生态功能</w:t>
            </w:r>
            <w:r>
              <w:rPr>
                <w:rFonts w:hint="default" w:ascii="Times New Roman" w:hAnsi="Times New Roman" w:cs="Times New Roman"/>
                <w:b w:val="0"/>
                <w:bCs w:val="0"/>
                <w:color w:val="000000" w:themeColor="text1"/>
                <w:szCs w:val="21"/>
                <w14:textFill>
                  <w14:solidFill>
                    <w14:schemeClr w14:val="tx1"/>
                  </w14:solidFill>
                </w14:textFill>
              </w:rPr>
              <w:t>区划</w:t>
            </w:r>
            <w:r>
              <w:rPr>
                <w:rFonts w:hint="default" w:ascii="Times New Roman" w:hAnsi="Times New Roman" w:cs="Times New Roman"/>
                <w:b w:val="0"/>
                <w:bCs w:val="0"/>
                <w:color w:val="000000" w:themeColor="text1"/>
                <w:szCs w:val="21"/>
                <w:lang w:val="en-US" w:eastAsia="zh-CN"/>
                <w14:textFill>
                  <w14:solidFill>
                    <w14:schemeClr w14:val="tx1"/>
                  </w14:solidFill>
                </w14:textFill>
              </w:rPr>
              <w:t>位置关系</w:t>
            </w:r>
            <w:r>
              <w:rPr>
                <w:rFonts w:hint="default" w:ascii="Times New Roman" w:hAnsi="Times New Roman" w:cs="Times New Roman"/>
                <w:b w:val="0"/>
                <w:bCs w:val="0"/>
                <w:color w:val="000000" w:themeColor="text1"/>
                <w:szCs w:val="21"/>
                <w14:textFill>
                  <w14:solidFill>
                    <w14:schemeClr w14:val="tx1"/>
                  </w14:solidFill>
                </w14:textFill>
              </w:rPr>
              <w:t>见</w:t>
            </w:r>
            <w:r>
              <w:rPr>
                <w:rFonts w:hint="default" w:ascii="Times New Roman" w:hAnsi="Times New Roman" w:cs="Times New Roman"/>
                <w:b/>
                <w:bCs/>
                <w:color w:val="000000" w:themeColor="text1"/>
                <w:szCs w:val="21"/>
                <w14:textFill>
                  <w14:solidFill>
                    <w14:schemeClr w14:val="tx1"/>
                  </w14:solidFill>
                </w14:textFill>
              </w:rPr>
              <w:t>附图</w:t>
            </w:r>
            <w:r>
              <w:rPr>
                <w:rFonts w:hint="default" w:ascii="Times New Roman" w:hAnsi="Times New Roman" w:cs="Times New Roman"/>
                <w:b/>
                <w:bCs/>
                <w:color w:val="000000" w:themeColor="text1"/>
                <w:szCs w:val="21"/>
                <w:lang w:val="en-US" w:eastAsia="zh-CN"/>
                <w14:textFill>
                  <w14:solidFill>
                    <w14:schemeClr w14:val="tx1"/>
                  </w14:solidFill>
                </w14:textFill>
              </w:rPr>
              <w:t>8</w:t>
            </w:r>
            <w:r>
              <w:rPr>
                <w:rFonts w:hint="default" w:ascii="Times New Roman" w:hAnsi="Times New Roman" w:cs="Times New Roman"/>
                <w:b/>
                <w:bCs/>
                <w:color w:val="000000" w:themeColor="text1"/>
                <w14:textFill>
                  <w14:solidFill>
                    <w14:schemeClr w14:val="tx1"/>
                  </w14:solidFill>
                </w14:textFill>
              </w:rPr>
              <w:t>。</w:t>
            </w:r>
          </w:p>
          <w:p>
            <w:pPr>
              <w:pStyle w:val="56"/>
              <w:bidi w:val="0"/>
              <w:rPr>
                <w:rFonts w:hint="default"/>
              </w:rPr>
            </w:pPr>
            <w:r>
              <w:rPr>
                <w:rFonts w:hint="default"/>
              </w:rPr>
              <w:t>表</w:t>
            </w:r>
            <w:r>
              <w:rPr>
                <w:rFonts w:hint="default"/>
                <w:lang w:val="en-US" w:eastAsia="zh-CN"/>
              </w:rPr>
              <w:t>3-1</w:t>
            </w:r>
            <w:r>
              <w:rPr>
                <w:rFonts w:hint="default"/>
              </w:rPr>
              <w:t xml:space="preserve">  生态功能区划简表</w:t>
            </w:r>
          </w:p>
          <w:tbl>
            <w:tblPr>
              <w:tblStyle w:val="2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37"/>
              <w:gridCol w:w="1321"/>
              <w:gridCol w:w="527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563" w:type="pct"/>
                  <w:vMerge w:val="restart"/>
                  <w:vAlign w:val="center"/>
                </w:tcPr>
                <w:p>
                  <w:pPr>
                    <w:pStyle w:val="35"/>
                    <w:bidi w:val="0"/>
                    <w:rPr>
                      <w:rFonts w:hint="default" w:ascii="Times New Roman" w:hAnsi="Times New Roman" w:cs="Times New Roman"/>
                      <w:color w:val="000000" w:themeColor="text1"/>
                      <w:szCs w:val="21"/>
                      <w14:textFill>
                        <w14:solidFill>
                          <w14:schemeClr w14:val="tx1"/>
                        </w14:solidFill>
                      </w14:textFill>
                    </w:rPr>
                  </w:pPr>
                  <w:bookmarkStart w:id="63" w:name="_Hlk3923160"/>
                  <w:r>
                    <w:rPr>
                      <w:rFonts w:hint="default"/>
                    </w:rPr>
                    <w:t>生态功能分区单元</w:t>
                  </w:r>
                </w:p>
              </w:tc>
              <w:tc>
                <w:tcPr>
                  <w:tcW w:w="888" w:type="pct"/>
                  <w:vAlign w:val="center"/>
                </w:tcPr>
                <w:p>
                  <w:pPr>
                    <w:pStyle w:val="35"/>
                    <w:bidi w:val="0"/>
                    <w:rPr>
                      <w:rFonts w:hint="default" w:ascii="Times New Roman" w:hAnsi="Times New Roman" w:cs="Times New Roman"/>
                      <w:color w:val="000000" w:themeColor="text1"/>
                      <w:szCs w:val="21"/>
                      <w14:textFill>
                        <w14:solidFill>
                          <w14:schemeClr w14:val="tx1"/>
                        </w14:solidFill>
                      </w14:textFill>
                    </w:rPr>
                  </w:pPr>
                  <w:r>
                    <w:rPr>
                      <w:rFonts w:hint="default"/>
                    </w:rPr>
                    <w:t>生态区</w:t>
                  </w:r>
                </w:p>
              </w:tc>
              <w:tc>
                <w:tcPr>
                  <w:tcW w:w="3547" w:type="pct"/>
                  <w:vAlign w:val="center"/>
                </w:tcPr>
                <w:p>
                  <w:pPr>
                    <w:pStyle w:val="35"/>
                    <w:bidi w:val="0"/>
                    <w:rPr>
                      <w:rFonts w:hint="default" w:ascii="Times New Roman" w:hAnsi="Times New Roman" w:cs="Times New Roman"/>
                      <w:color w:val="000000" w:themeColor="text1"/>
                      <w:szCs w:val="21"/>
                      <w14:textFill>
                        <w14:solidFill>
                          <w14:schemeClr w14:val="tx1"/>
                        </w14:solidFill>
                      </w14:textFill>
                    </w:rPr>
                  </w:pPr>
                  <w:r>
                    <w:rPr>
                      <w:rFonts w:hint="default"/>
                    </w:rPr>
                    <w:t>Ⅱ准噶尔盆地温带干旱荒漠与绿洲生态功能区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563" w:type="pct"/>
                  <w:vMerge w:val="continue"/>
                  <w:vAlign w:val="center"/>
                </w:tcPr>
                <w:p>
                  <w:pPr>
                    <w:pStyle w:val="35"/>
                    <w:rPr>
                      <w:rFonts w:hint="default" w:ascii="Times New Roman" w:hAnsi="Times New Roman" w:cs="Times New Roman"/>
                      <w:color w:val="000000" w:themeColor="text1"/>
                      <w:sz w:val="21"/>
                      <w:szCs w:val="21"/>
                      <w14:textFill>
                        <w14:solidFill>
                          <w14:schemeClr w14:val="tx1"/>
                        </w14:solidFill>
                      </w14:textFill>
                    </w:rPr>
                  </w:pPr>
                </w:p>
              </w:tc>
              <w:tc>
                <w:tcPr>
                  <w:tcW w:w="888" w:type="pct"/>
                  <w:vAlign w:val="center"/>
                </w:tcPr>
                <w:p>
                  <w:pPr>
                    <w:pStyle w:val="35"/>
                    <w:bidi w:val="0"/>
                    <w:rPr>
                      <w:rFonts w:hint="default" w:ascii="Times New Roman" w:hAnsi="Times New Roman" w:cs="Times New Roman"/>
                      <w:color w:val="000000" w:themeColor="text1"/>
                      <w:szCs w:val="21"/>
                      <w14:textFill>
                        <w14:solidFill>
                          <w14:schemeClr w14:val="tx1"/>
                        </w14:solidFill>
                      </w14:textFill>
                    </w:rPr>
                  </w:pPr>
                  <w:r>
                    <w:rPr>
                      <w:rFonts w:hint="default"/>
                    </w:rPr>
                    <w:t>生态亚区</w:t>
                  </w:r>
                </w:p>
              </w:tc>
              <w:tc>
                <w:tcPr>
                  <w:tcW w:w="3547" w:type="pct"/>
                  <w:vAlign w:val="center"/>
                </w:tcPr>
                <w:p>
                  <w:pPr>
                    <w:pStyle w:val="35"/>
                    <w:bidi w:val="0"/>
                    <w:rPr>
                      <w:rFonts w:hint="default" w:ascii="Times New Roman" w:hAnsi="Times New Roman" w:cs="Times New Roman"/>
                      <w:color w:val="000000" w:themeColor="text1"/>
                      <w:szCs w:val="21"/>
                      <w14:textFill>
                        <w14:solidFill>
                          <w14:schemeClr w14:val="tx1"/>
                        </w14:solidFill>
                      </w14:textFill>
                    </w:rPr>
                  </w:pPr>
                  <w:r>
                    <w:rPr>
                      <w:rFonts w:hint="default"/>
                    </w:rPr>
                    <w:t>Ⅱ</w:t>
                  </w:r>
                  <w:r>
                    <w:rPr>
                      <w:rFonts w:hint="default"/>
                      <w:vertAlign w:val="subscript"/>
                    </w:rPr>
                    <w:t>3</w:t>
                  </w:r>
                  <w:r>
                    <w:rPr>
                      <w:rFonts w:hint="default"/>
                    </w:rPr>
                    <w:t>准噶尔盆地中部固定、半固定沙漠生态亚区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563" w:type="pct"/>
                  <w:vMerge w:val="continue"/>
                  <w:vAlign w:val="center"/>
                </w:tcPr>
                <w:p>
                  <w:pPr>
                    <w:pStyle w:val="35"/>
                    <w:rPr>
                      <w:rFonts w:hint="default" w:ascii="Times New Roman" w:hAnsi="Times New Roman" w:cs="Times New Roman"/>
                      <w:color w:val="000000" w:themeColor="text1"/>
                      <w:sz w:val="21"/>
                      <w:szCs w:val="21"/>
                      <w14:textFill>
                        <w14:solidFill>
                          <w14:schemeClr w14:val="tx1"/>
                        </w14:solidFill>
                      </w14:textFill>
                    </w:rPr>
                  </w:pPr>
                </w:p>
              </w:tc>
              <w:tc>
                <w:tcPr>
                  <w:tcW w:w="888" w:type="pct"/>
                  <w:vAlign w:val="center"/>
                </w:tcPr>
                <w:p>
                  <w:pPr>
                    <w:pStyle w:val="35"/>
                    <w:bidi w:val="0"/>
                    <w:rPr>
                      <w:rFonts w:hint="default" w:ascii="Times New Roman" w:hAnsi="Times New Roman" w:cs="Times New Roman"/>
                      <w:color w:val="000000" w:themeColor="text1"/>
                      <w:szCs w:val="21"/>
                      <w14:textFill>
                        <w14:solidFill>
                          <w14:schemeClr w14:val="tx1"/>
                        </w14:solidFill>
                      </w14:textFill>
                    </w:rPr>
                  </w:pPr>
                  <w:r>
                    <w:rPr>
                      <w:rFonts w:hint="default"/>
                    </w:rPr>
                    <w:t>生态功能区</w:t>
                  </w:r>
                </w:p>
              </w:tc>
              <w:tc>
                <w:tcPr>
                  <w:tcW w:w="3547" w:type="pct"/>
                  <w:vAlign w:val="center"/>
                </w:tcPr>
                <w:p>
                  <w:pPr>
                    <w:pStyle w:val="35"/>
                    <w:bidi w:val="0"/>
                    <w:rPr>
                      <w:rFonts w:hint="default" w:ascii="Times New Roman" w:hAnsi="Times New Roman" w:cs="Times New Roman"/>
                      <w:color w:val="000000" w:themeColor="text1"/>
                      <w:szCs w:val="21"/>
                      <w14:textFill>
                        <w14:solidFill>
                          <w14:schemeClr w14:val="tx1"/>
                        </w14:solidFill>
                      </w14:textFill>
                    </w:rPr>
                  </w:pPr>
                  <w:r>
                    <w:rPr>
                      <w:rFonts w:hint="default"/>
                    </w:rPr>
                    <w:t>23古尔班通古特沙漠化敏感及植被保护生态功能区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52" w:type="pct"/>
                  <w:gridSpan w:val="2"/>
                  <w:vAlign w:val="center"/>
                </w:tcPr>
                <w:p>
                  <w:pPr>
                    <w:pStyle w:val="35"/>
                    <w:bidi w:val="0"/>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lang w:val="en-US" w:eastAsia="zh-CN"/>
                    </w:rPr>
                    <w:t>隶属行政区</w:t>
                  </w:r>
                </w:p>
              </w:tc>
              <w:tc>
                <w:tcPr>
                  <w:tcW w:w="5272" w:type="dxa"/>
                  <w:vAlign w:val="center"/>
                </w:tcPr>
                <w:p>
                  <w:pPr>
                    <w:pStyle w:val="68"/>
                    <w:jc w:val="left"/>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和布克赛尔县、福海县、沙湾县、玛纳斯县、呼图壁县、昌吉市、米泉市、阜康市、吉木萨尔县、奇台县、木垒县</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52" w:type="pct"/>
                  <w:gridSpan w:val="2"/>
                  <w:vAlign w:val="center"/>
                </w:tcPr>
                <w:p>
                  <w:pPr>
                    <w:pStyle w:val="35"/>
                    <w:bidi w:val="0"/>
                    <w:rPr>
                      <w:rFonts w:hint="default" w:ascii="Times New Roman" w:hAnsi="Times New Roman" w:cs="Times New Roman"/>
                      <w:color w:val="000000" w:themeColor="text1"/>
                      <w:szCs w:val="21"/>
                      <w14:textFill>
                        <w14:solidFill>
                          <w14:schemeClr w14:val="tx1"/>
                        </w14:solidFill>
                      </w14:textFill>
                    </w:rPr>
                  </w:pPr>
                  <w:r>
                    <w:rPr>
                      <w:rFonts w:hint="default"/>
                    </w:rPr>
                    <w:t>主要生态服务功能</w:t>
                  </w:r>
                </w:p>
              </w:tc>
              <w:tc>
                <w:tcPr>
                  <w:tcW w:w="3547" w:type="pct"/>
                  <w:vAlign w:val="center"/>
                </w:tcPr>
                <w:p>
                  <w:pPr>
                    <w:pStyle w:val="35"/>
                    <w:bidi w:val="0"/>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rPr>
                    <w:t>沙漠化控制、生物多样性维护</w:t>
                  </w:r>
                  <w:r>
                    <w:rPr>
                      <w:rFonts w:hint="default"/>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52" w:type="pct"/>
                  <w:gridSpan w:val="2"/>
                  <w:vAlign w:val="center"/>
                </w:tcPr>
                <w:p>
                  <w:pPr>
                    <w:pStyle w:val="35"/>
                    <w:bidi w:val="0"/>
                    <w:rPr>
                      <w:rFonts w:hint="default" w:ascii="Times New Roman" w:hAnsi="Times New Roman" w:cs="Times New Roman"/>
                      <w:color w:val="000000" w:themeColor="text1"/>
                      <w:szCs w:val="21"/>
                      <w14:textFill>
                        <w14:solidFill>
                          <w14:schemeClr w14:val="tx1"/>
                        </w14:solidFill>
                      </w14:textFill>
                    </w:rPr>
                  </w:pPr>
                  <w:r>
                    <w:rPr>
                      <w:rFonts w:hint="default"/>
                    </w:rPr>
                    <w:t>主要生态环境问题</w:t>
                  </w:r>
                </w:p>
              </w:tc>
              <w:tc>
                <w:tcPr>
                  <w:tcW w:w="3547" w:type="pct"/>
                  <w:vAlign w:val="center"/>
                </w:tcPr>
                <w:p>
                  <w:pPr>
                    <w:pStyle w:val="35"/>
                    <w:bidi w:val="0"/>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rPr>
                    <w:t>人为干扰范围扩大、工程建设引起沙漠植被破坏、鼠害严重、植被退化、沙漠化构成对南缘绿洲的威胁</w:t>
                  </w:r>
                  <w:r>
                    <w:rPr>
                      <w:rFonts w:hint="default"/>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52" w:type="pct"/>
                  <w:gridSpan w:val="2"/>
                  <w:vAlign w:val="center"/>
                </w:tcPr>
                <w:p>
                  <w:pPr>
                    <w:pStyle w:val="35"/>
                    <w:bidi w:val="0"/>
                    <w:rPr>
                      <w:rFonts w:hint="default"/>
                    </w:rPr>
                  </w:pPr>
                  <w:r>
                    <w:rPr>
                      <w:rFonts w:hint="default"/>
                    </w:rPr>
                    <w:t>生态敏感因子敏感</w:t>
                  </w:r>
                </w:p>
                <w:p>
                  <w:pPr>
                    <w:pStyle w:val="35"/>
                    <w:bidi w:val="0"/>
                    <w:rPr>
                      <w:rFonts w:hint="default" w:ascii="Times New Roman" w:hAnsi="Times New Roman" w:cs="Times New Roman"/>
                      <w:color w:val="000000" w:themeColor="text1"/>
                      <w:szCs w:val="21"/>
                      <w14:textFill>
                        <w14:solidFill>
                          <w14:schemeClr w14:val="tx1"/>
                        </w14:solidFill>
                      </w14:textFill>
                    </w:rPr>
                  </w:pPr>
                  <w:r>
                    <w:rPr>
                      <w:rFonts w:hint="default"/>
                    </w:rPr>
                    <w:t>程度</w:t>
                  </w:r>
                </w:p>
              </w:tc>
              <w:tc>
                <w:tcPr>
                  <w:tcW w:w="3547" w:type="pct"/>
                  <w:vAlign w:val="center"/>
                </w:tcPr>
                <w:p>
                  <w:pPr>
                    <w:pStyle w:val="35"/>
                    <w:bidi w:val="0"/>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rPr>
                    <w:t>生物多样性及其生境高度敏感，土地沙漠化极度敏感，土壤侵蚀高度敏感、土壤盐渍化轻度敏感</w:t>
                  </w:r>
                  <w:r>
                    <w:rPr>
                      <w:rFonts w:hint="default"/>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52" w:type="pct"/>
                  <w:gridSpan w:val="2"/>
                  <w:vAlign w:val="center"/>
                </w:tcPr>
                <w:p>
                  <w:pPr>
                    <w:pStyle w:val="35"/>
                    <w:bidi w:val="0"/>
                    <w:rPr>
                      <w:rFonts w:hint="default" w:ascii="Times New Roman" w:hAnsi="Times New Roman" w:cs="Times New Roman"/>
                      <w:color w:val="000000" w:themeColor="text1"/>
                      <w:szCs w:val="21"/>
                      <w14:textFill>
                        <w14:solidFill>
                          <w14:schemeClr w14:val="tx1"/>
                        </w14:solidFill>
                      </w14:textFill>
                    </w:rPr>
                  </w:pPr>
                  <w:r>
                    <w:rPr>
                      <w:rFonts w:hint="default"/>
                    </w:rPr>
                    <w:t>保护目标</w:t>
                  </w:r>
                </w:p>
              </w:tc>
              <w:tc>
                <w:tcPr>
                  <w:tcW w:w="3547" w:type="pct"/>
                  <w:vAlign w:val="center"/>
                </w:tcPr>
                <w:p>
                  <w:pPr>
                    <w:pStyle w:val="35"/>
                    <w:bidi w:val="0"/>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rPr>
                    <w:t>保护沙漠植被、防止沙丘活化</w:t>
                  </w:r>
                  <w:r>
                    <w:rPr>
                      <w:rFonts w:hint="default"/>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52" w:type="pct"/>
                  <w:gridSpan w:val="2"/>
                  <w:vAlign w:val="center"/>
                </w:tcPr>
                <w:p>
                  <w:pPr>
                    <w:pStyle w:val="35"/>
                    <w:bidi w:val="0"/>
                    <w:rPr>
                      <w:rFonts w:hint="default" w:ascii="Times New Roman" w:hAnsi="Times New Roman" w:cs="Times New Roman"/>
                      <w:color w:val="000000" w:themeColor="text1"/>
                      <w:szCs w:val="21"/>
                      <w14:textFill>
                        <w14:solidFill>
                          <w14:schemeClr w14:val="tx1"/>
                        </w14:solidFill>
                      </w14:textFill>
                    </w:rPr>
                  </w:pPr>
                  <w:r>
                    <w:rPr>
                      <w:rFonts w:hint="default"/>
                    </w:rPr>
                    <w:t>保护措施</w:t>
                  </w:r>
                </w:p>
              </w:tc>
              <w:tc>
                <w:tcPr>
                  <w:tcW w:w="3547" w:type="pct"/>
                  <w:vAlign w:val="center"/>
                </w:tcPr>
                <w:p>
                  <w:pPr>
                    <w:pStyle w:val="35"/>
                    <w:bidi w:val="0"/>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rPr>
                    <w:t>对沙漠边缘流动沙丘、活化沙地进行封沙育林、退耕还林（草），禁止</w:t>
                  </w:r>
                  <w:r>
                    <w:rPr>
                      <w:rFonts w:hint="eastAsia"/>
                      <w:lang w:val="en-US" w:eastAsia="zh-CN"/>
                    </w:rPr>
                    <w:t>樵</w:t>
                  </w:r>
                  <w:r>
                    <w:rPr>
                      <w:rFonts w:hint="default"/>
                    </w:rPr>
                    <w:t>采和放牧，禁止开荒</w:t>
                  </w:r>
                  <w:r>
                    <w:rPr>
                      <w:rFonts w:hint="default"/>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452" w:type="pct"/>
                  <w:gridSpan w:val="2"/>
                  <w:vAlign w:val="center"/>
                </w:tcPr>
                <w:p>
                  <w:pPr>
                    <w:pStyle w:val="35"/>
                    <w:bidi w:val="0"/>
                    <w:rPr>
                      <w:rFonts w:hint="default" w:ascii="Times New Roman" w:hAnsi="Times New Roman" w:cs="Times New Roman"/>
                      <w:color w:val="000000" w:themeColor="text1"/>
                      <w:szCs w:val="21"/>
                      <w14:textFill>
                        <w14:solidFill>
                          <w14:schemeClr w14:val="tx1"/>
                        </w14:solidFill>
                      </w14:textFill>
                    </w:rPr>
                  </w:pPr>
                  <w:r>
                    <w:rPr>
                      <w:rFonts w:hint="default"/>
                    </w:rPr>
                    <w:t>适宜发展方向</w:t>
                  </w:r>
                </w:p>
              </w:tc>
              <w:tc>
                <w:tcPr>
                  <w:tcW w:w="3547" w:type="pct"/>
                  <w:vAlign w:val="center"/>
                </w:tcPr>
                <w:p>
                  <w:pPr>
                    <w:pStyle w:val="35"/>
                    <w:bidi w:val="0"/>
                    <w:rPr>
                      <w:rFonts w:hint="default"/>
                    </w:rPr>
                  </w:pPr>
                  <w:r>
                    <w:rPr>
                      <w:rFonts w:hint="default"/>
                    </w:rPr>
                    <w:t>维护固定、半固定沙漠景观与植被，治理活化沙丘，</w:t>
                  </w:r>
                </w:p>
                <w:p>
                  <w:pPr>
                    <w:pStyle w:val="35"/>
                    <w:bidi w:val="0"/>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rPr>
                    <w:t>遏制蔓延</w:t>
                  </w:r>
                  <w:r>
                    <w:rPr>
                      <w:rFonts w:hint="default"/>
                      <w:lang w:eastAsia="zh-CN"/>
                    </w:rPr>
                    <w:t>。</w:t>
                  </w:r>
                </w:p>
              </w:tc>
            </w:tr>
            <w:bookmarkEnd w:id="63"/>
          </w:tbl>
          <w:p>
            <w:pPr>
              <w:pStyle w:val="54"/>
              <w:numPr>
                <w:ilvl w:val="0"/>
                <w:numId w:val="8"/>
              </w:numPr>
              <w:bidi w:val="0"/>
              <w:ind w:left="9" w:leftChars="0" w:firstLineChars="0"/>
              <w:rPr>
                <w:rFonts w:hint="default"/>
              </w:rPr>
            </w:pPr>
            <w:bookmarkStart w:id="64" w:name="_Hlk136793903"/>
            <w:r>
              <w:rPr>
                <w:rFonts w:hint="default"/>
              </w:rPr>
              <w:t>生态环境现状</w:t>
            </w:r>
          </w:p>
          <w:bookmarkEnd w:id="64"/>
          <w:p>
            <w:pPr>
              <w:pStyle w:val="10"/>
              <w:ind w:firstLine="480"/>
              <w:rPr>
                <w:rFonts w:hint="default" w:ascii="Times New Roman" w:hAnsi="Times New Roman" w:cs="Times New Roman"/>
                <w:b w:val="0"/>
                <w:bCs w:val="0"/>
                <w:color w:val="000000" w:themeColor="text1"/>
                <w14:textFill>
                  <w14:solidFill>
                    <w14:schemeClr w14:val="tx1"/>
                  </w14:solidFill>
                </w14:textFill>
              </w:rPr>
            </w:pPr>
            <w:bookmarkStart w:id="65" w:name="_Hlk136793978"/>
            <w:r>
              <w:rPr>
                <w:rFonts w:hint="default" w:ascii="Times New Roman" w:hAnsi="Times New Roman" w:cs="Times New Roman"/>
                <w:b w:val="0"/>
                <w:bCs w:val="0"/>
                <w:color w:val="000000" w:themeColor="text1"/>
                <w14:textFill>
                  <w14:solidFill>
                    <w14:schemeClr w14:val="tx1"/>
                  </w14:solidFill>
                </w14:textFill>
              </w:rPr>
              <w:t>（</w:t>
            </w:r>
            <w:r>
              <w:rPr>
                <w:rFonts w:hint="eastAsia" w:cs="Times New Roman"/>
                <w:b w:val="0"/>
                <w:bCs w:val="0"/>
                <w:color w:val="000000" w:themeColor="text1"/>
                <w:lang w:val="en-US" w:eastAsia="zh-CN"/>
                <w14:textFill>
                  <w14:solidFill>
                    <w14:schemeClr w14:val="tx1"/>
                  </w14:solidFill>
                </w14:textFill>
              </w:rPr>
              <w:t>1</w:t>
            </w:r>
            <w:r>
              <w:rPr>
                <w:rFonts w:hint="default" w:ascii="Times New Roman" w:hAnsi="Times New Roman" w:cs="Times New Roman"/>
                <w:b w:val="0"/>
                <w:bCs w:val="0"/>
                <w:color w:val="000000" w:themeColor="text1"/>
                <w14:textFill>
                  <w14:solidFill>
                    <w14:schemeClr w14:val="tx1"/>
                  </w14:solidFill>
                </w14:textFill>
              </w:rPr>
              <w:t>）土地利用类型</w:t>
            </w:r>
          </w:p>
          <w:p>
            <w:pPr>
              <w:pStyle w:val="10"/>
              <w:ind w:firstLine="480"/>
              <w:rPr>
                <w:rFonts w:hint="default" w:ascii="Times New Roman" w:hAnsi="Times New Roman" w:cs="Times New Roman"/>
                <w:b w:val="0"/>
                <w:bCs w:val="0"/>
                <w:color w:val="000000" w:themeColor="text1"/>
                <w14:textFill>
                  <w14:solidFill>
                    <w14:schemeClr w14:val="tx1"/>
                  </w14:solidFill>
                </w14:textFill>
              </w:rPr>
            </w:pPr>
            <w:bookmarkStart w:id="66" w:name="_Hlk168224186"/>
            <w:r>
              <w:rPr>
                <w:rFonts w:hint="default" w:ascii="Times New Roman" w:hAnsi="Times New Roman" w:cs="Times New Roman"/>
                <w:b w:val="0"/>
                <w:bCs w:val="0"/>
                <w:color w:val="000000" w:themeColor="text1"/>
                <w14:textFill>
                  <w14:solidFill>
                    <w14:schemeClr w14:val="tx1"/>
                  </w14:solidFill>
                </w14:textFill>
              </w:rPr>
              <w:t>根据</w:t>
            </w:r>
            <w:r>
              <w:rPr>
                <w:rFonts w:hint="eastAsia" w:ascii="Times New Roman" w:hAnsi="Times New Roman" w:cs="Times New Roman"/>
                <w:b w:val="0"/>
                <w:bCs w:val="0"/>
                <w:color w:val="000000" w:themeColor="text1"/>
                <w:lang w:val="en-US" w:eastAsia="zh-CN"/>
                <w14:textFill>
                  <w14:solidFill>
                    <w14:schemeClr w14:val="tx1"/>
                  </w14:solidFill>
                </w14:textFill>
              </w:rPr>
              <w:t>勘界资料</w:t>
            </w:r>
            <w:r>
              <w:rPr>
                <w:rFonts w:hint="default" w:ascii="Times New Roman" w:hAnsi="Times New Roman" w:cs="Times New Roman"/>
                <w:b w:val="0"/>
                <w:bCs w:val="0"/>
                <w:color w:val="000000" w:themeColor="text1"/>
                <w14:textFill>
                  <w14:solidFill>
                    <w14:schemeClr w14:val="tx1"/>
                  </w14:solidFill>
                </w14:textFill>
              </w:rPr>
              <w:t>，</w:t>
            </w:r>
            <w:r>
              <w:rPr>
                <w:rFonts w:hint="eastAsia" w:ascii="Times New Roman" w:hAnsi="Times New Roman" w:cs="Times New Roman"/>
                <w:b w:val="0"/>
                <w:bCs w:val="0"/>
                <w:color w:val="000000" w:themeColor="text1"/>
                <w:lang w:val="en-US" w:eastAsia="zh-CN"/>
                <w14:textFill>
                  <w14:solidFill>
                    <w14:schemeClr w14:val="tx1"/>
                  </w14:solidFill>
                </w14:textFill>
              </w:rPr>
              <w:t>莫24H井井场和生活营地用地土地利用类型为天然牧草地，</w:t>
            </w:r>
            <w:bookmarkEnd w:id="66"/>
            <w:r>
              <w:rPr>
                <w:rFonts w:hint="eastAsia" w:ascii="Times New Roman" w:hAnsi="Times New Roman" w:cs="Times New Roman"/>
                <w:b w:val="0"/>
                <w:bCs w:val="0"/>
                <w:color w:val="000000" w:themeColor="text1"/>
                <w:lang w:val="en-US" w:eastAsia="zh-CN"/>
                <w14:textFill>
                  <w14:solidFill>
                    <w14:schemeClr w14:val="tx1"/>
                  </w14:solidFill>
                </w14:textFill>
              </w:rPr>
              <w:t>探临道路用地为天然牧草地和少量公路用地。</w:t>
            </w:r>
            <w:r>
              <w:rPr>
                <w:rFonts w:hint="default" w:ascii="Times New Roman" w:hAnsi="Times New Roman" w:cs="Times New Roman"/>
                <w:b w:val="0"/>
                <w:bCs w:val="0"/>
                <w:color w:val="000000" w:themeColor="text1"/>
                <w:lang w:val="en-US" w:eastAsia="zh-CN"/>
                <w14:textFill>
                  <w14:solidFill>
                    <w14:schemeClr w14:val="tx1"/>
                  </w14:solidFill>
                </w14:textFill>
              </w:rPr>
              <w:t>本项目土地利用类型</w:t>
            </w:r>
            <w:r>
              <w:rPr>
                <w:rFonts w:hint="default" w:ascii="Times New Roman" w:hAnsi="Times New Roman" w:cs="Times New Roman"/>
                <w:b w:val="0"/>
                <w:bCs w:val="0"/>
                <w:color w:val="000000" w:themeColor="text1"/>
                <w14:textFill>
                  <w14:solidFill>
                    <w14:schemeClr w14:val="tx1"/>
                  </w14:solidFill>
                </w14:textFill>
              </w:rPr>
              <w:t>见</w:t>
            </w:r>
            <w:r>
              <w:rPr>
                <w:rFonts w:hint="default" w:ascii="Times New Roman" w:hAnsi="Times New Roman" w:cs="Times New Roman"/>
                <w:b/>
                <w:bCs/>
                <w:color w:val="000000" w:themeColor="text1"/>
                <w14:textFill>
                  <w14:solidFill>
                    <w14:schemeClr w14:val="tx1"/>
                  </w14:solidFill>
                </w14:textFill>
              </w:rPr>
              <w:t>附图</w:t>
            </w:r>
            <w:r>
              <w:rPr>
                <w:rFonts w:hint="eastAsia" w:cs="Times New Roman"/>
                <w:b/>
                <w:bCs/>
                <w:color w:val="000000" w:themeColor="text1"/>
                <w:lang w:val="en-US" w:eastAsia="zh-CN"/>
                <w14:textFill>
                  <w14:solidFill>
                    <w14:schemeClr w14:val="tx1"/>
                  </w14:solidFill>
                </w14:textFill>
              </w:rPr>
              <w:t>9</w:t>
            </w:r>
            <w:r>
              <w:rPr>
                <w:rFonts w:hint="default" w:ascii="Times New Roman" w:hAnsi="Times New Roman" w:cs="Times New Roman"/>
                <w:b w:val="0"/>
                <w:bCs w:val="0"/>
                <w:color w:val="000000" w:themeColor="text1"/>
                <w14:textFill>
                  <w14:solidFill>
                    <w14:schemeClr w14:val="tx1"/>
                  </w14:solidFill>
                </w14:textFill>
              </w:rPr>
              <w:t>。</w:t>
            </w:r>
          </w:p>
          <w:bookmarkEnd w:id="65"/>
          <w:p>
            <w:pPr>
              <w:pStyle w:val="10"/>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w:t>
            </w:r>
            <w:r>
              <w:rPr>
                <w:rFonts w:hint="eastAsia" w:cs="Times New Roman"/>
                <w:b w:val="0"/>
                <w:bCs w:val="0"/>
                <w:color w:val="000000" w:themeColor="text1"/>
                <w:lang w:val="en-US" w:eastAsia="zh-CN"/>
                <w14:textFill>
                  <w14:solidFill>
                    <w14:schemeClr w14:val="tx1"/>
                  </w14:solidFill>
                </w14:textFill>
              </w:rPr>
              <w:t>2</w:t>
            </w:r>
            <w:r>
              <w:rPr>
                <w:rFonts w:hint="default" w:ascii="Times New Roman" w:hAnsi="Times New Roman" w:cs="Times New Roman"/>
                <w:b w:val="0"/>
                <w:bCs w:val="0"/>
                <w:color w:val="000000" w:themeColor="text1"/>
                <w14:textFill>
                  <w14:solidFill>
                    <w14:schemeClr w14:val="tx1"/>
                  </w14:solidFill>
                </w14:textFill>
              </w:rPr>
              <w:t>）植被现状</w:t>
            </w:r>
          </w:p>
          <w:p>
            <w:pPr>
              <w:pStyle w:val="10"/>
              <w:ind w:firstLine="480"/>
              <w:rPr>
                <w:rFonts w:hint="default" w:ascii="Times New Roman" w:hAnsi="Times New Roman" w:eastAsia="宋体" w:cs="Times New Roman"/>
                <w:b/>
                <w:bCs/>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根据资料收集及现场调查，</w:t>
            </w:r>
            <w:r>
              <w:rPr>
                <w:rFonts w:hint="default" w:ascii="Times New Roman" w:hAnsi="Times New Roman" w:cs="Times New Roman"/>
                <w:b w:val="0"/>
                <w:bCs w:val="0"/>
                <w:color w:val="000000" w:themeColor="text1"/>
                <w:lang w:val="en-US" w:eastAsia="zh-CN"/>
                <w14:textFill>
                  <w14:solidFill>
                    <w14:schemeClr w14:val="tx1"/>
                  </w14:solidFill>
                </w14:textFill>
              </w:rPr>
              <w:t>项目所在</w:t>
            </w:r>
            <w:r>
              <w:rPr>
                <w:rFonts w:hint="default" w:ascii="Times New Roman" w:hAnsi="Times New Roman" w:cs="Times New Roman"/>
                <w:b w:val="0"/>
                <w:bCs w:val="0"/>
                <w:color w:val="000000" w:themeColor="text1"/>
                <w14:textFill>
                  <w14:solidFill>
                    <w14:schemeClr w14:val="tx1"/>
                  </w14:solidFill>
                </w14:textFill>
              </w:rPr>
              <w:t>区域植被类型为</w:t>
            </w:r>
            <w:r>
              <w:rPr>
                <w:rFonts w:hint="eastAsia" w:ascii="Times New Roman" w:hAnsi="Times New Roman" w:cs="Times New Roman"/>
                <w:b w:val="0"/>
                <w:bCs w:val="0"/>
                <w:color w:val="000000" w:themeColor="text1"/>
                <w:lang w:val="en-US" w:eastAsia="zh-CN"/>
                <w14:textFill>
                  <w14:solidFill>
                    <w14:schemeClr w14:val="tx1"/>
                  </w14:solidFill>
                </w14:textFill>
              </w:rPr>
              <w:t>白</w:t>
            </w:r>
            <w:r>
              <w:rPr>
                <w:rFonts w:hint="default" w:ascii="Times New Roman" w:hAnsi="Times New Roman" w:cs="Times New Roman"/>
                <w:b w:val="0"/>
                <w:bCs w:val="0"/>
                <w:color w:val="000000" w:themeColor="text1"/>
                <w14:textFill>
                  <w14:solidFill>
                    <w14:schemeClr w14:val="tx1"/>
                  </w14:solidFill>
                </w14:textFill>
              </w:rPr>
              <w:t>梭梭</w:t>
            </w:r>
            <w:r>
              <w:rPr>
                <w:rFonts w:hint="eastAsia" w:ascii="Times New Roman" w:hAnsi="Times New Roman" w:cs="Times New Roman"/>
                <w:b w:val="0"/>
                <w:bCs w:val="0"/>
                <w:color w:val="000000" w:themeColor="text1"/>
                <w:lang w:val="en-US" w:eastAsia="zh-CN"/>
                <w14:textFill>
                  <w14:solidFill>
                    <w14:schemeClr w14:val="tx1"/>
                  </w14:solidFill>
                </w14:textFill>
              </w:rPr>
              <w:t>荒漠</w:t>
            </w:r>
            <w:r>
              <w:rPr>
                <w:rFonts w:hint="eastAsia" w:ascii="Times New Roman" w:hAnsi="Times New Roman" w:cs="Times New Roman"/>
                <w:b w:val="0"/>
                <w:bCs w:val="0"/>
                <w:color w:val="000000" w:themeColor="text1"/>
                <w:lang w:eastAsia="zh-CN"/>
                <w14:textFill>
                  <w14:solidFill>
                    <w14:schemeClr w14:val="tx1"/>
                  </w14:solidFill>
                </w14:textFill>
              </w:rPr>
              <w:t>，</w:t>
            </w:r>
            <w:r>
              <w:rPr>
                <w:rFonts w:hint="eastAsia" w:ascii="Times New Roman" w:hAnsi="Times New Roman" w:cs="Times New Roman"/>
                <w:b w:val="0"/>
                <w:bCs w:val="0"/>
                <w:color w:val="000000" w:themeColor="text1"/>
                <w:lang w:val="en-US" w:eastAsia="zh-CN"/>
                <w14:textFill>
                  <w14:solidFill>
                    <w14:schemeClr w14:val="tx1"/>
                  </w14:solidFill>
                </w14:textFill>
              </w:rPr>
              <w:t>主要分布植物为白梭</w:t>
            </w:r>
            <w:r>
              <w:rPr>
                <w:rFonts w:hint="eastAsia" w:ascii="Times New Roman" w:hAnsi="Times New Roman" w:cs="Times New Roman"/>
                <w:b w:val="0"/>
                <w:bCs w:val="0"/>
                <w:color w:val="000000" w:themeColor="text1"/>
                <w:highlight w:val="none"/>
                <w:lang w:val="en-US" w:eastAsia="zh-CN"/>
                <w14:textFill>
                  <w14:solidFill>
                    <w14:schemeClr w14:val="tx1"/>
                  </w14:solidFill>
                </w14:textFill>
              </w:rPr>
              <w:t>梭，</w:t>
            </w:r>
            <w:r>
              <w:rPr>
                <w:rFonts w:hint="eastAsia" w:cs="Times New Roman"/>
                <w:b w:val="0"/>
                <w:bCs w:val="0"/>
                <w:color w:val="000000" w:themeColor="text1"/>
                <w:highlight w:val="none"/>
                <w:lang w:val="en-US" w:eastAsia="zh-CN"/>
                <w14:textFill>
                  <w14:solidFill>
                    <w14:schemeClr w14:val="tx1"/>
                  </w14:solidFill>
                </w14:textFill>
              </w:rPr>
              <w:t>项目区及</w:t>
            </w:r>
            <w:r>
              <w:rPr>
                <w:rFonts w:hint="eastAsia" w:ascii="Times New Roman" w:hAnsi="Times New Roman" w:cs="Times New Roman"/>
                <w:b w:val="0"/>
                <w:bCs w:val="0"/>
                <w:color w:val="000000" w:themeColor="text1"/>
                <w:highlight w:val="none"/>
                <w:lang w:val="en-US" w:eastAsia="zh-CN"/>
                <w14:textFill>
                  <w14:solidFill>
                    <w14:schemeClr w14:val="tx1"/>
                  </w14:solidFill>
                </w14:textFill>
              </w:rPr>
              <w:t>周边</w:t>
            </w:r>
            <w:r>
              <w:rPr>
                <w:rFonts w:hint="default" w:ascii="Times New Roman" w:hAnsi="Times New Roman" w:cs="Times New Roman"/>
                <w:b w:val="0"/>
                <w:bCs w:val="0"/>
                <w:color w:val="000000" w:themeColor="text1"/>
                <w:highlight w:val="none"/>
                <w:lang w:val="en-US" w:eastAsia="zh-CN"/>
                <w14:textFill>
                  <w14:solidFill>
                    <w14:schemeClr w14:val="tx1"/>
                  </w14:solidFill>
                </w14:textFill>
              </w:rPr>
              <w:t>植被</w:t>
            </w:r>
            <w:r>
              <w:rPr>
                <w:rFonts w:hint="eastAsia" w:ascii="Times New Roman" w:hAnsi="Times New Roman" w:cs="Times New Roman"/>
                <w:b w:val="0"/>
                <w:bCs w:val="0"/>
                <w:color w:val="000000" w:themeColor="text1"/>
                <w:highlight w:val="none"/>
                <w:lang w:val="en-US" w:eastAsia="zh-CN"/>
                <w14:textFill>
                  <w14:solidFill>
                    <w14:schemeClr w14:val="tx1"/>
                  </w14:solidFill>
                </w14:textFill>
              </w:rPr>
              <w:t>总体</w:t>
            </w:r>
            <w:r>
              <w:rPr>
                <w:rFonts w:hint="default" w:ascii="Times New Roman" w:hAnsi="Times New Roman" w:cs="Times New Roman"/>
                <w:b w:val="0"/>
                <w:bCs w:val="0"/>
                <w:color w:val="000000" w:themeColor="text1"/>
                <w:highlight w:val="none"/>
                <w:lang w:val="en-US" w:eastAsia="zh-CN"/>
                <w14:textFill>
                  <w14:solidFill>
                    <w14:schemeClr w14:val="tx1"/>
                  </w14:solidFill>
                </w14:textFill>
              </w:rPr>
              <w:t>覆盖度为</w:t>
            </w:r>
            <w:r>
              <w:rPr>
                <w:rFonts w:hint="eastAsia" w:cs="Times New Roman"/>
                <w:b w:val="0"/>
                <w:bCs w:val="0"/>
                <w:color w:val="000000" w:themeColor="text1"/>
                <w:highlight w:val="none"/>
                <w:lang w:val="en-US" w:eastAsia="zh-CN"/>
                <w14:textFill>
                  <w14:solidFill>
                    <w14:schemeClr w14:val="tx1"/>
                  </w14:solidFill>
                </w14:textFill>
              </w:rPr>
              <w:t>20</w:t>
            </w:r>
            <w:r>
              <w:rPr>
                <w:rFonts w:hint="eastAsia" w:ascii="Times New Roman" w:hAnsi="Times New Roman" w:cs="Times New Roman"/>
                <w:b w:val="0"/>
                <w:bCs w:val="0"/>
                <w:color w:val="000000" w:themeColor="text1"/>
                <w:highlight w:val="none"/>
                <w:lang w:val="en-US" w:eastAsia="zh-CN"/>
                <w14:textFill>
                  <w14:solidFill>
                    <w14:schemeClr w14:val="tx1"/>
                  </w14:solidFill>
                </w14:textFill>
              </w:rPr>
              <w:t>～</w:t>
            </w:r>
            <w:r>
              <w:rPr>
                <w:rFonts w:hint="eastAsia" w:cs="Times New Roman"/>
                <w:b w:val="0"/>
                <w:bCs w:val="0"/>
                <w:color w:val="000000" w:themeColor="text1"/>
                <w:highlight w:val="none"/>
                <w:lang w:val="en-US" w:eastAsia="zh-CN"/>
                <w14:textFill>
                  <w14:solidFill>
                    <w14:schemeClr w14:val="tx1"/>
                  </w14:solidFill>
                </w14:textFill>
              </w:rPr>
              <w:t>25</w:t>
            </w:r>
            <w:r>
              <w:rPr>
                <w:rFonts w:hint="default" w:ascii="Times New Roman" w:hAnsi="Times New Roman" w:cs="Times New Roman"/>
                <w:b w:val="0"/>
                <w:bCs w:val="0"/>
                <w:color w:val="000000" w:themeColor="text1"/>
                <w:highlight w:val="none"/>
                <w:lang w:val="en-US" w:eastAsia="zh-CN"/>
                <w14:textFill>
                  <w14:solidFill>
                    <w14:schemeClr w14:val="tx1"/>
                  </w14:solidFill>
                </w14:textFill>
              </w:rPr>
              <w:t>%</w:t>
            </w:r>
            <w:r>
              <w:rPr>
                <w:rFonts w:hint="eastAsia" w:ascii="Times New Roman" w:hAnsi="Times New Roman" w:cs="Times New Roman"/>
                <w:b w:val="0"/>
                <w:bCs w:val="0"/>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植</w:t>
            </w:r>
            <w:r>
              <w:rPr>
                <w:rFonts w:hint="default" w:ascii="Times New Roman" w:hAnsi="Times New Roman" w:eastAsia="宋体" w:cs="Times New Roman"/>
                <w:b w:val="0"/>
                <w:bCs w:val="0"/>
                <w:color w:val="000000" w:themeColor="text1"/>
                <w14:textFill>
                  <w14:solidFill>
                    <w14:schemeClr w14:val="tx1"/>
                  </w14:solidFill>
                </w14:textFill>
              </w:rPr>
              <w:t>被株高约</w:t>
            </w:r>
            <w:r>
              <w:rPr>
                <w:rFonts w:hint="eastAsia" w:ascii="Times New Roman" w:hAnsi="Times New Roman" w:eastAsia="宋体" w:cs="Times New Roman"/>
                <w:b w:val="0"/>
                <w:bCs w:val="0"/>
                <w:color w:val="000000" w:themeColor="text1"/>
                <w:lang w:val="en-US" w:eastAsia="zh-CN"/>
                <w14:textFill>
                  <w14:solidFill>
                    <w14:schemeClr w14:val="tx1"/>
                  </w14:solidFill>
                </w14:textFill>
              </w:rPr>
              <w:t>0.2</w:t>
            </w:r>
            <w:r>
              <w:rPr>
                <w:rFonts w:hint="default" w:ascii="Times New Roman" w:hAnsi="Times New Roman" w:eastAsia="宋体" w:cs="Times New Roman"/>
                <w:b w:val="0"/>
                <w:bCs w:val="0"/>
                <w:color w:val="000000" w:themeColor="text1"/>
                <w14:textFill>
                  <w14:solidFill>
                    <w14:schemeClr w14:val="tx1"/>
                  </w14:solidFill>
                </w14:textFill>
              </w:rPr>
              <w:t>m～</w:t>
            </w:r>
            <w:r>
              <w:rPr>
                <w:rFonts w:hint="eastAsia" w:ascii="Times New Roman" w:hAnsi="Times New Roman" w:eastAsia="宋体" w:cs="Times New Roman"/>
                <w:b w:val="0"/>
                <w:bCs w:val="0"/>
                <w:color w:val="000000" w:themeColor="text1"/>
                <w:lang w:val="en-US" w:eastAsia="zh-CN"/>
                <w14:textFill>
                  <w14:solidFill>
                    <w14:schemeClr w14:val="tx1"/>
                  </w14:solidFill>
                </w14:textFill>
              </w:rPr>
              <w:t>2.2</w:t>
            </w:r>
            <w:r>
              <w:rPr>
                <w:rFonts w:hint="default" w:ascii="Times New Roman" w:hAnsi="Times New Roman" w:eastAsia="宋体" w:cs="Times New Roman"/>
                <w:b w:val="0"/>
                <w:bCs w:val="0"/>
                <w:color w:val="000000" w:themeColor="text1"/>
                <w14:textFill>
                  <w14:solidFill>
                    <w14:schemeClr w14:val="tx1"/>
                  </w14:solidFill>
                </w14:textFill>
              </w:rPr>
              <w:t>m，冠幅宽约0.5m～1.</w:t>
            </w:r>
            <w:r>
              <w:rPr>
                <w:rFonts w:hint="eastAsia" w:ascii="Times New Roman" w:hAnsi="Times New Roman" w:eastAsia="宋体" w:cs="Times New Roman"/>
                <w:b w:val="0"/>
                <w:bCs w:val="0"/>
                <w:color w:val="000000" w:themeColor="text1"/>
                <w:lang w:val="en-US" w:eastAsia="zh-CN"/>
                <w14:textFill>
                  <w14:solidFill>
                    <w14:schemeClr w14:val="tx1"/>
                  </w14:solidFill>
                </w14:textFill>
              </w:rPr>
              <w:t>8</w:t>
            </w:r>
            <w:r>
              <w:rPr>
                <w:rFonts w:hint="default" w:ascii="Times New Roman" w:hAnsi="Times New Roman" w:eastAsia="宋体" w:cs="Times New Roman"/>
                <w:b w:val="0"/>
                <w:bCs w:val="0"/>
                <w:color w:val="000000" w:themeColor="text1"/>
                <w14:textFill>
                  <w14:solidFill>
                    <w14:schemeClr w14:val="tx1"/>
                  </w14:solidFill>
                </w14:textFill>
              </w:rPr>
              <w:t>m。</w:t>
            </w:r>
            <w:r>
              <w:rPr>
                <w:rFonts w:hint="default" w:ascii="Times New Roman" w:hAnsi="Times New Roman" w:eastAsia="宋体" w:cs="Times New Roman"/>
              </w:rPr>
              <w:t>根据《新疆国家重点保护野生植物名录》（2022年）和《新疆维吾尔自治区重点保护野生植物名录》（2024年），</w:t>
            </w:r>
            <w:r>
              <w:rPr>
                <w:rFonts w:hint="eastAsia" w:cs="Times New Roman"/>
                <w:lang w:val="en-US" w:eastAsia="zh-CN"/>
              </w:rPr>
              <w:t>项目及周边</w:t>
            </w:r>
            <w:r>
              <w:rPr>
                <w:rFonts w:hint="default" w:ascii="Times New Roman" w:hAnsi="Times New Roman" w:eastAsia="宋体" w:cs="Times New Roman"/>
              </w:rPr>
              <w:t>无国家及自治区级保护</w:t>
            </w:r>
            <w:r>
              <w:rPr>
                <w:rFonts w:hint="eastAsia" w:cs="Times New Roman"/>
                <w:lang w:val="en-US" w:eastAsia="zh-CN"/>
              </w:rPr>
              <w:t>野生</w:t>
            </w:r>
            <w:r>
              <w:rPr>
                <w:rFonts w:hint="default" w:ascii="Times New Roman" w:hAnsi="Times New Roman" w:eastAsia="宋体" w:cs="Times New Roman"/>
              </w:rPr>
              <w:t>植物分布。</w:t>
            </w:r>
            <w:r>
              <w:rPr>
                <w:rFonts w:hint="default" w:ascii="Times New Roman" w:hAnsi="Times New Roman" w:eastAsia="宋体" w:cs="Times New Roman"/>
                <w:b w:val="0"/>
                <w:bCs w:val="0"/>
                <w:color w:val="000000" w:themeColor="text1"/>
                <w:lang w:val="en-US" w:eastAsia="zh-CN"/>
                <w14:textFill>
                  <w14:solidFill>
                    <w14:schemeClr w14:val="tx1"/>
                  </w14:solidFill>
                </w14:textFill>
              </w:rPr>
              <w:t>本项目</w:t>
            </w:r>
            <w:r>
              <w:rPr>
                <w:rFonts w:hint="eastAsia" w:ascii="Times New Roman" w:hAnsi="Times New Roman" w:eastAsia="宋体" w:cs="Times New Roman"/>
                <w:b w:val="0"/>
                <w:bCs w:val="0"/>
                <w:color w:val="000000" w:themeColor="text1"/>
                <w:lang w:val="en-US" w:eastAsia="zh-CN"/>
                <w14:textFill>
                  <w14:solidFill>
                    <w14:schemeClr w14:val="tx1"/>
                  </w14:solidFill>
                </w14:textFill>
              </w:rPr>
              <w:t>所在区域</w:t>
            </w:r>
            <w:r>
              <w:rPr>
                <w:rFonts w:hint="default" w:ascii="Times New Roman" w:hAnsi="Times New Roman" w:eastAsia="宋体" w:cs="Times New Roman"/>
                <w:b w:val="0"/>
                <w:bCs w:val="0"/>
                <w:color w:val="000000" w:themeColor="text1"/>
                <w:lang w:val="en-US" w:eastAsia="zh-CN"/>
                <w14:textFill>
                  <w14:solidFill>
                    <w14:schemeClr w14:val="tx1"/>
                  </w14:solidFill>
                </w14:textFill>
              </w:rPr>
              <w:t>植被</w:t>
            </w:r>
            <w:r>
              <w:rPr>
                <w:rFonts w:hint="eastAsia" w:ascii="Times New Roman" w:hAnsi="Times New Roman" w:eastAsia="宋体" w:cs="Times New Roman"/>
                <w:b w:val="0"/>
                <w:bCs w:val="0"/>
                <w:color w:val="000000" w:themeColor="text1"/>
                <w:lang w:val="en-US" w:eastAsia="zh-CN"/>
                <w14:textFill>
                  <w14:solidFill>
                    <w14:schemeClr w14:val="tx1"/>
                  </w14:solidFill>
                </w14:textFill>
              </w:rPr>
              <w:t>类型</w:t>
            </w:r>
            <w:r>
              <w:rPr>
                <w:rFonts w:hint="default" w:ascii="Times New Roman" w:hAnsi="Times New Roman" w:eastAsia="宋体" w:cs="Times New Roman"/>
                <w:b w:val="0"/>
                <w:bCs w:val="0"/>
                <w:color w:val="000000" w:themeColor="text1"/>
                <w:lang w:val="en-US" w:eastAsia="zh-CN"/>
                <w14:textFill>
                  <w14:solidFill>
                    <w14:schemeClr w14:val="tx1"/>
                  </w14:solidFill>
                </w14:textFill>
              </w:rPr>
              <w:t>见</w:t>
            </w:r>
            <w:r>
              <w:rPr>
                <w:rFonts w:hint="default" w:ascii="Times New Roman" w:hAnsi="Times New Roman" w:eastAsia="宋体" w:cs="Times New Roman"/>
                <w:b/>
                <w:bCs/>
                <w:color w:val="000000" w:themeColor="text1"/>
                <w:lang w:val="en-US" w:eastAsia="zh-CN"/>
                <w14:textFill>
                  <w14:solidFill>
                    <w14:schemeClr w14:val="tx1"/>
                  </w14:solidFill>
                </w14:textFill>
              </w:rPr>
              <w:t>附图</w:t>
            </w:r>
            <w:r>
              <w:rPr>
                <w:rFonts w:hint="eastAsia" w:cs="Times New Roman"/>
                <w:b/>
                <w:bCs/>
                <w:color w:val="000000" w:themeColor="text1"/>
                <w:lang w:val="en-US" w:eastAsia="zh-CN"/>
                <w14:textFill>
                  <w14:solidFill>
                    <w14:schemeClr w14:val="tx1"/>
                  </w14:solidFill>
                </w14:textFill>
              </w:rPr>
              <w:t>10</w:t>
            </w:r>
            <w:r>
              <w:rPr>
                <w:rFonts w:hint="default" w:ascii="Times New Roman" w:hAnsi="Times New Roman" w:eastAsia="宋体" w:cs="Times New Roman"/>
                <w:b/>
                <w:bCs/>
                <w:color w:val="000000" w:themeColor="text1"/>
                <w:lang w:val="en-US" w:eastAsia="zh-CN"/>
                <w14:textFill>
                  <w14:solidFill>
                    <w14:schemeClr w14:val="tx1"/>
                  </w14:solidFill>
                </w14:textFill>
              </w:rPr>
              <w:t>。</w:t>
            </w:r>
          </w:p>
          <w:p>
            <w:pPr>
              <w:pStyle w:val="10"/>
              <w:bidi w:val="0"/>
              <w:rPr>
                <w:rFonts w:hint="default"/>
              </w:rPr>
            </w:pPr>
            <w:r>
              <w:rPr>
                <w:rFonts w:hint="default"/>
              </w:rPr>
              <w:t>（</w:t>
            </w:r>
            <w:r>
              <w:rPr>
                <w:rFonts w:hint="eastAsia"/>
                <w:lang w:val="en-US" w:eastAsia="zh-CN"/>
              </w:rPr>
              <w:t>3</w:t>
            </w:r>
            <w:r>
              <w:rPr>
                <w:rFonts w:hint="default"/>
              </w:rPr>
              <w:t>）野生动物现状</w:t>
            </w:r>
          </w:p>
          <w:p>
            <w:pPr>
              <w:pStyle w:val="10"/>
              <w:bidi w:val="0"/>
              <w:rPr>
                <w:rFonts w:hint="eastAsia"/>
                <w:lang w:val="en-US" w:eastAsia="zh-CN"/>
              </w:rPr>
            </w:pPr>
            <w:r>
              <w:rPr>
                <w:rFonts w:hint="default"/>
              </w:rPr>
              <w:t>本项目所在区域</w:t>
            </w:r>
            <w:r>
              <w:rPr>
                <w:rFonts w:hint="default"/>
                <w:lang w:val="en-US" w:eastAsia="zh-CN"/>
              </w:rPr>
              <w:t>气候干燥少雨，昼夜温差大，植被稀疏，野生动物生存的饮水、食物及栖息条件非常有限。因此种类和数量分布较少，主要是常见的沙鼠等小型动物，还有一些麻雀等常见鸟类活动。本项目占地范围未见《国家重点保护野生动物名录》及《新疆维吾尔自治区重点保护野生动物名录（20</w:t>
            </w:r>
            <w:r>
              <w:rPr>
                <w:rFonts w:hint="eastAsia"/>
                <w:lang w:val="en-US" w:eastAsia="zh-CN"/>
              </w:rPr>
              <w:t>24</w:t>
            </w:r>
            <w:r>
              <w:rPr>
                <w:rFonts w:hint="default"/>
                <w:lang w:val="en-US" w:eastAsia="zh-CN"/>
              </w:rPr>
              <w:t>年）》中保护野生动物</w:t>
            </w:r>
            <w:r>
              <w:rPr>
                <w:rFonts w:hint="eastAsia"/>
                <w:lang w:val="en-US" w:eastAsia="zh-CN"/>
              </w:rPr>
              <w:t>分布。</w:t>
            </w:r>
          </w:p>
          <w:p>
            <w:pPr>
              <w:pStyle w:val="10"/>
              <w:bidi w:val="0"/>
              <w:rPr>
                <w:rFonts w:hint="default"/>
              </w:rPr>
            </w:pPr>
            <w:r>
              <w:rPr>
                <w:rFonts w:hint="default"/>
              </w:rPr>
              <w:t>（</w:t>
            </w:r>
            <w:r>
              <w:rPr>
                <w:rFonts w:hint="eastAsia"/>
                <w:lang w:val="en-US" w:eastAsia="zh-CN"/>
              </w:rPr>
              <w:t>4</w:t>
            </w:r>
            <w:r>
              <w:rPr>
                <w:rFonts w:hint="default"/>
              </w:rPr>
              <w:t>）水土流失现状</w:t>
            </w:r>
          </w:p>
          <w:p>
            <w:pPr>
              <w:pStyle w:val="10"/>
              <w:bidi w:val="0"/>
              <w:rPr>
                <w:rFonts w:hint="default" w:ascii="Times New Roman" w:hAnsi="Times New Roman" w:cs="Times New Roman"/>
                <w:b w:val="0"/>
                <w:bCs w:val="0"/>
                <w:color w:val="000000" w:themeColor="text1"/>
                <w:lang w:val="en-US"/>
                <w14:textFill>
                  <w14:solidFill>
                    <w14:schemeClr w14:val="tx1"/>
                  </w14:solidFill>
                </w14:textFill>
              </w:rPr>
            </w:pPr>
            <w:r>
              <w:rPr>
                <w:rFonts w:hint="eastAsia" w:ascii="Times New Roman" w:hAnsi="Times New Roman" w:cs="Times New Roman"/>
                <w:b w:val="0"/>
                <w:bCs w:val="0"/>
                <w:color w:val="000000" w:themeColor="text1"/>
                <w:lang w:val="en-US" w:eastAsia="zh-CN"/>
                <w14:textFill>
                  <w14:solidFill>
                    <w14:schemeClr w14:val="tx1"/>
                  </w14:solidFill>
                </w14:textFill>
              </w:rPr>
              <w:t>本项目所在</w:t>
            </w:r>
            <w:r>
              <w:rPr>
                <w:rFonts w:hint="default" w:ascii="Times New Roman" w:hAnsi="Times New Roman" w:cs="Times New Roman"/>
                <w:b w:val="0"/>
                <w:bCs w:val="0"/>
                <w:color w:val="000000" w:themeColor="text1"/>
                <w14:textFill>
                  <w14:solidFill>
                    <w14:schemeClr w14:val="tx1"/>
                  </w14:solidFill>
                </w14:textFill>
              </w:rPr>
              <w:t>区域主要水土流失类型为风力侵蚀，侵蚀强度为</w:t>
            </w:r>
            <w:r>
              <w:rPr>
                <w:rFonts w:hint="default" w:ascii="Times New Roman" w:hAnsi="Times New Roman" w:cs="Times New Roman"/>
                <w:b w:val="0"/>
                <w:bCs w:val="0"/>
                <w:color w:val="000000" w:themeColor="text1"/>
                <w:lang w:val="en-US" w:eastAsia="zh-CN"/>
                <w14:textFill>
                  <w14:solidFill>
                    <w14:schemeClr w14:val="tx1"/>
                  </w14:solidFill>
                </w14:textFill>
              </w:rPr>
              <w:t>轻</w:t>
            </w:r>
            <w:r>
              <w:rPr>
                <w:rFonts w:hint="default" w:ascii="Times New Roman" w:hAnsi="Times New Roman" w:cs="Times New Roman"/>
                <w:b w:val="0"/>
                <w:bCs w:val="0"/>
                <w:color w:val="000000" w:themeColor="text1"/>
                <w14:textFill>
                  <w14:solidFill>
                    <w14:schemeClr w14:val="tx1"/>
                  </w14:solidFill>
                </w14:textFill>
              </w:rPr>
              <w:t>度</w:t>
            </w:r>
            <w:r>
              <w:rPr>
                <w:rFonts w:hint="default" w:ascii="Times New Roman" w:hAnsi="Times New Roman" w:cs="Times New Roman"/>
                <w:b w:val="0"/>
                <w:bCs w:val="0"/>
                <w:color w:val="000000" w:themeColor="text1"/>
                <w:lang w:eastAsia="zh-CN"/>
                <w14:textFill>
                  <w14:solidFill>
                    <w14:schemeClr w14:val="tx1"/>
                  </w14:solidFill>
                </w14:textFill>
              </w:rPr>
              <w:t>；</w:t>
            </w:r>
            <w:r>
              <w:rPr>
                <w:rFonts w:hint="default" w:ascii="Times New Roman" w:hAnsi="Times New Roman" w:cs="Times New Roman"/>
                <w:b w:val="0"/>
                <w:bCs w:val="0"/>
                <w:color w:val="000000" w:themeColor="text1"/>
                <w14:textFill>
                  <w14:solidFill>
                    <w14:schemeClr w14:val="tx1"/>
                  </w14:solidFill>
                </w14:textFill>
              </w:rPr>
              <w:t>根据《新疆维吾尔自治区昌吉回族自治州水土保持规划（2021</w:t>
            </w:r>
            <w:r>
              <w:rPr>
                <w:rFonts w:hint="eastAsia" w:cs="Times New Roman"/>
                <w:b w:val="0"/>
                <w:bCs w:val="0"/>
                <w:color w:val="000000" w:themeColor="text1"/>
                <w:lang w:eastAsia="zh-CN"/>
                <w14:textFill>
                  <w14:solidFill>
                    <w14:schemeClr w14:val="tx1"/>
                  </w14:solidFill>
                </w14:textFill>
              </w:rPr>
              <w:t>—</w:t>
            </w:r>
            <w:r>
              <w:rPr>
                <w:rFonts w:hint="default" w:ascii="Times New Roman" w:hAnsi="Times New Roman" w:cs="Times New Roman"/>
                <w:b w:val="0"/>
                <w:bCs w:val="0"/>
                <w:color w:val="000000" w:themeColor="text1"/>
                <w14:textFill>
                  <w14:solidFill>
                    <w14:schemeClr w14:val="tx1"/>
                  </w14:solidFill>
                </w14:textFill>
              </w:rPr>
              <w:t>2030年）》，</w:t>
            </w:r>
            <w:r>
              <w:rPr>
                <w:rFonts w:hint="default" w:ascii="Times New Roman" w:hAnsi="Times New Roman" w:cs="Times New Roman"/>
                <w:b w:val="0"/>
                <w:bCs w:val="0"/>
                <w:color w:val="000000" w:themeColor="text1"/>
                <w:lang w:val="en-US" w:eastAsia="zh-CN"/>
                <w14:textFill>
                  <w14:solidFill>
                    <w14:schemeClr w14:val="tx1"/>
                  </w14:solidFill>
                </w14:textFill>
              </w:rPr>
              <w:t>本项目</w:t>
            </w:r>
            <w:r>
              <w:rPr>
                <w:rFonts w:hint="default" w:ascii="Times New Roman" w:hAnsi="Times New Roman" w:cs="Times New Roman"/>
                <w:b w:val="0"/>
                <w:bCs w:val="0"/>
                <w:color w:val="000000" w:themeColor="text1"/>
                <w14:textFill>
                  <w14:solidFill>
                    <w14:schemeClr w14:val="tx1"/>
                  </w14:solidFill>
                </w14:textFill>
              </w:rPr>
              <w:t>所在区域</w:t>
            </w:r>
            <w:r>
              <w:rPr>
                <w:rFonts w:hint="eastAsia" w:ascii="Times New Roman" w:hAnsi="Times New Roman" w:cs="Times New Roman"/>
                <w:b w:val="0"/>
                <w:bCs w:val="0"/>
                <w:color w:val="000000" w:themeColor="text1"/>
                <w:lang w:val="en-US" w:eastAsia="zh-CN"/>
                <w14:textFill>
                  <w14:solidFill>
                    <w14:schemeClr w14:val="tx1"/>
                  </w14:solidFill>
                </w14:textFill>
              </w:rPr>
              <w:t>不</w:t>
            </w:r>
            <w:r>
              <w:rPr>
                <w:rFonts w:hint="default" w:ascii="Times New Roman" w:hAnsi="Times New Roman" w:cs="Times New Roman"/>
                <w:b w:val="0"/>
                <w:bCs w:val="0"/>
                <w:color w:val="000000" w:themeColor="text1"/>
                <w14:textFill>
                  <w14:solidFill>
                    <w14:schemeClr w14:val="tx1"/>
                  </w14:solidFill>
                </w14:textFill>
              </w:rPr>
              <w:t>属于水土流失重点预防区</w:t>
            </w:r>
            <w:r>
              <w:rPr>
                <w:rFonts w:hint="eastAsia" w:ascii="Times New Roman" w:hAnsi="Times New Roman" w:cs="Times New Roman"/>
                <w:b w:val="0"/>
                <w:bCs w:val="0"/>
                <w:color w:val="000000" w:themeColor="text1"/>
                <w:lang w:val="en-US" w:eastAsia="zh-CN"/>
                <w14:textFill>
                  <w14:solidFill>
                    <w14:schemeClr w14:val="tx1"/>
                  </w14:solidFill>
                </w14:textFill>
              </w:rPr>
              <w:t>和水土流失重点治理区。项目和</w:t>
            </w:r>
            <w:r>
              <w:rPr>
                <w:rFonts w:hint="default" w:ascii="Times New Roman" w:hAnsi="Times New Roman" w:cs="Times New Roman"/>
                <w:b w:val="0"/>
                <w:bCs w:val="0"/>
                <w:color w:val="000000" w:themeColor="text1"/>
                <w14:textFill>
                  <w14:solidFill>
                    <w14:schemeClr w14:val="tx1"/>
                  </w14:solidFill>
                </w14:textFill>
              </w:rPr>
              <w:t>水土流失重点预防区</w:t>
            </w:r>
            <w:r>
              <w:rPr>
                <w:rFonts w:hint="eastAsia" w:ascii="Times New Roman" w:hAnsi="Times New Roman" w:cs="Times New Roman"/>
                <w:b w:val="0"/>
                <w:bCs w:val="0"/>
                <w:color w:val="000000" w:themeColor="text1"/>
                <w:lang w:val="en-US" w:eastAsia="zh-CN"/>
                <w14:textFill>
                  <w14:solidFill>
                    <w14:schemeClr w14:val="tx1"/>
                  </w14:solidFill>
                </w14:textFill>
              </w:rPr>
              <w:t>和水土流失重点治理区的相对位置见</w:t>
            </w:r>
            <w:r>
              <w:rPr>
                <w:rFonts w:hint="default" w:ascii="Times New Roman" w:hAnsi="Times New Roman" w:cs="Times New Roman"/>
                <w:b/>
                <w:bCs/>
                <w:color w:val="000000" w:themeColor="text1"/>
                <w:lang w:val="en-US" w:eastAsia="zh-CN"/>
                <w14:textFill>
                  <w14:solidFill>
                    <w14:schemeClr w14:val="tx1"/>
                  </w14:solidFill>
                </w14:textFill>
              </w:rPr>
              <w:t>附图</w:t>
            </w:r>
            <w:r>
              <w:rPr>
                <w:rFonts w:hint="eastAsia" w:cs="Times New Roman"/>
                <w:b/>
                <w:bCs/>
                <w:color w:val="000000" w:themeColor="text1"/>
                <w:lang w:val="en-US" w:eastAsia="zh-CN"/>
                <w14:textFill>
                  <w14:solidFill>
                    <w14:schemeClr w14:val="tx1"/>
                  </w14:solidFill>
                </w14:textFill>
              </w:rPr>
              <w:t>11</w:t>
            </w:r>
            <w:r>
              <w:rPr>
                <w:rFonts w:hint="eastAsia" w:ascii="Times New Roman" w:hAnsi="Times New Roman" w:cs="Times New Roman"/>
                <w:b w:val="0"/>
                <w:bCs w:val="0"/>
                <w:color w:val="000000" w:themeColor="text1"/>
                <w:lang w:val="en-US" w:eastAsia="zh-CN"/>
                <w14:textFill>
                  <w14:solidFill>
                    <w14:schemeClr w14:val="tx1"/>
                  </w14:solidFill>
                </w14:textFill>
              </w:rPr>
              <w:t>。</w:t>
            </w:r>
          </w:p>
          <w:p>
            <w:pPr>
              <w:pStyle w:val="10"/>
              <w:ind w:firstLine="480"/>
              <w:rPr>
                <w:rFonts w:hint="default" w:ascii="Times New Roman" w:hAnsi="Times New Roman" w:cs="Times New Roman"/>
                <w:b w:val="0"/>
                <w:bCs w:val="0"/>
                <w:color w:val="000000" w:themeColor="text1"/>
                <w:highlight w:val="none"/>
                <w14:textFill>
                  <w14:solidFill>
                    <w14:schemeClr w14:val="tx1"/>
                  </w14:solidFill>
                </w14:textFill>
              </w:rPr>
            </w:pPr>
            <w:r>
              <w:rPr>
                <w:rFonts w:hint="default" w:ascii="Times New Roman" w:hAnsi="Times New Roman" w:cs="Times New Roman"/>
                <w:b w:val="0"/>
                <w:bCs w:val="0"/>
                <w:color w:val="000000" w:themeColor="text1"/>
                <w:highlight w:val="none"/>
                <w14:textFill>
                  <w14:solidFill>
                    <w14:schemeClr w14:val="tx1"/>
                  </w14:solidFill>
                </w14:textFill>
              </w:rPr>
              <w:t>（</w:t>
            </w:r>
            <w:r>
              <w:rPr>
                <w:rFonts w:hint="eastAsia" w:cs="Times New Roman"/>
                <w:b w:val="0"/>
                <w:bCs w:val="0"/>
                <w:color w:val="000000" w:themeColor="text1"/>
                <w:highlight w:val="none"/>
                <w:lang w:val="en-US" w:eastAsia="zh-CN"/>
                <w14:textFill>
                  <w14:solidFill>
                    <w14:schemeClr w14:val="tx1"/>
                  </w14:solidFill>
                </w14:textFill>
              </w:rPr>
              <w:t>5</w:t>
            </w:r>
            <w:r>
              <w:rPr>
                <w:rFonts w:hint="default" w:ascii="Times New Roman" w:hAnsi="Times New Roman" w:cs="Times New Roman"/>
                <w:b w:val="0"/>
                <w:bCs w:val="0"/>
                <w:color w:val="000000" w:themeColor="text1"/>
                <w:highlight w:val="none"/>
                <w14:textFill>
                  <w14:solidFill>
                    <w14:schemeClr w14:val="tx1"/>
                  </w14:solidFill>
                </w14:textFill>
              </w:rPr>
              <w:t>）土地沙化现状</w:t>
            </w:r>
          </w:p>
          <w:p>
            <w:pPr>
              <w:pStyle w:val="10"/>
              <w:shd w:val="clear"/>
              <w:ind w:firstLine="480"/>
              <w:rPr>
                <w:rFonts w:hint="default" w:ascii="Times New Roman" w:hAnsi="Times New Roman"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本项目位于</w:t>
            </w:r>
            <w:r>
              <w:rPr>
                <w:rFonts w:hint="eastAsia" w:ascii="Times New Roman" w:hAnsi="Times New Roman" w:cs="Times New Roman"/>
                <w:b w:val="0"/>
                <w:bCs w:val="0"/>
                <w:color w:val="auto"/>
                <w:highlight w:val="none"/>
                <w:lang w:val="en-US" w:eastAsia="zh-CN"/>
              </w:rPr>
              <w:t>昌吉回族自治州呼图壁县</w:t>
            </w:r>
            <w:r>
              <w:rPr>
                <w:rFonts w:hint="default" w:ascii="Times New Roman" w:hAnsi="Times New Roman" w:eastAsia="宋体" w:cs="Times New Roman"/>
                <w:b w:val="0"/>
                <w:bCs w:val="0"/>
                <w:color w:val="auto"/>
                <w:highlight w:val="none"/>
                <w:lang w:val="en-US" w:eastAsia="zh-CN"/>
              </w:rPr>
              <w:t>，</w:t>
            </w:r>
            <w:r>
              <w:rPr>
                <w:rFonts w:hint="default" w:ascii="Times New Roman" w:hAnsi="Times New Roman" w:eastAsia="宋体" w:cs="Times New Roman"/>
                <w:b w:val="0"/>
                <w:bCs w:val="0"/>
                <w:color w:val="auto"/>
                <w:highlight w:val="none"/>
                <w:lang w:val="zh-CN" w:eastAsia="zh-CN"/>
              </w:rPr>
              <w:t>根据《新</w:t>
            </w:r>
            <w:bookmarkStart w:id="67" w:name="OLE_LINK4"/>
            <w:r>
              <w:rPr>
                <w:rFonts w:hint="default" w:ascii="Times New Roman" w:hAnsi="Times New Roman" w:eastAsia="宋体" w:cs="Times New Roman"/>
                <w:b w:val="0"/>
                <w:bCs w:val="0"/>
                <w:color w:val="auto"/>
                <w:highlight w:val="none"/>
                <w:lang w:val="zh-CN" w:eastAsia="zh-CN"/>
              </w:rPr>
              <w:t>疆第</w:t>
            </w:r>
            <w:r>
              <w:rPr>
                <w:rFonts w:hint="default" w:ascii="Times New Roman" w:hAnsi="Times New Roman" w:eastAsia="宋体" w:cs="Times New Roman"/>
                <w:b w:val="0"/>
                <w:bCs w:val="0"/>
                <w:color w:val="auto"/>
                <w:highlight w:val="none"/>
                <w:lang w:val="en-US" w:eastAsia="zh-CN"/>
              </w:rPr>
              <w:t>六</w:t>
            </w:r>
            <w:r>
              <w:rPr>
                <w:rFonts w:hint="default" w:ascii="Times New Roman" w:hAnsi="Times New Roman" w:eastAsia="宋体" w:cs="Times New Roman"/>
                <w:b w:val="0"/>
                <w:bCs w:val="0"/>
                <w:color w:val="auto"/>
                <w:highlight w:val="none"/>
                <w:lang w:val="zh-CN" w:eastAsia="zh-CN"/>
              </w:rPr>
              <w:t>次沙化土地监测报告</w:t>
            </w:r>
            <w:bookmarkEnd w:id="67"/>
            <w:r>
              <w:rPr>
                <w:rFonts w:hint="default" w:ascii="Times New Roman" w:hAnsi="Times New Roman" w:eastAsia="宋体" w:cs="Times New Roman"/>
                <w:b w:val="0"/>
                <w:bCs w:val="0"/>
                <w:color w:val="auto"/>
                <w:highlight w:val="none"/>
                <w:lang w:val="zh-CN" w:eastAsia="zh-CN"/>
              </w:rPr>
              <w:t>》，</w:t>
            </w:r>
            <w:r>
              <w:rPr>
                <w:rFonts w:hint="default" w:ascii="Times New Roman" w:hAnsi="Times New Roman" w:eastAsia="宋体" w:cs="Times New Roman"/>
                <w:b w:val="0"/>
                <w:bCs w:val="0"/>
                <w:color w:val="auto"/>
                <w:highlight w:val="none"/>
                <w:lang w:val="en-US" w:eastAsia="zh-CN"/>
              </w:rPr>
              <w:t>属于北疆沙漠的自然地理单元。</w:t>
            </w:r>
            <w:r>
              <w:rPr>
                <w:rFonts w:hint="eastAsia" w:ascii="Times New Roman" w:hAnsi="Times New Roman" w:cs="Times New Roman"/>
                <w:b w:val="0"/>
                <w:bCs w:val="0"/>
                <w:color w:val="auto"/>
                <w:highlight w:val="none"/>
                <w:lang w:val="en-US" w:eastAsia="zh-CN"/>
              </w:rPr>
              <w:t>呼图壁县</w:t>
            </w:r>
            <w:r>
              <w:rPr>
                <w:rFonts w:hint="default" w:ascii="Times New Roman" w:hAnsi="Times New Roman" w:eastAsia="宋体" w:cs="Times New Roman"/>
                <w:b w:val="0"/>
                <w:bCs w:val="0"/>
                <w:color w:val="auto"/>
                <w:highlight w:val="none"/>
                <w:lang w:val="en-US" w:eastAsia="zh-CN"/>
              </w:rPr>
              <w:t>总面积347137.82</w:t>
            </w:r>
            <w:r>
              <w:rPr>
                <w:rFonts w:hint="eastAsia" w:ascii="Times New Roman" w:hAnsi="Times New Roman" w:cs="Times New Roman"/>
                <w:b w:val="0"/>
                <w:bCs w:val="0"/>
                <w:color w:val="auto"/>
                <w:highlight w:val="none"/>
                <w:lang w:val="en-US" w:eastAsia="zh-CN"/>
              </w:rPr>
              <w:t>公顷，</w:t>
            </w:r>
            <w:r>
              <w:rPr>
                <w:rFonts w:hint="default" w:ascii="Times New Roman" w:hAnsi="Times New Roman" w:eastAsia="宋体" w:cs="Times New Roman"/>
                <w:b w:val="0"/>
                <w:bCs w:val="0"/>
                <w:color w:val="auto"/>
                <w:highlight w:val="none"/>
                <w:lang w:val="en-US" w:eastAsia="zh-CN"/>
              </w:rPr>
              <w:t>沙化土地面积262616.03</w:t>
            </w:r>
            <w:r>
              <w:rPr>
                <w:rFonts w:hint="eastAsia" w:ascii="Times New Roman" w:hAnsi="Times New Roman" w:cs="Times New Roman"/>
                <w:b w:val="0"/>
                <w:bCs w:val="0"/>
                <w:color w:val="auto"/>
                <w:highlight w:val="none"/>
                <w:lang w:val="en-US" w:eastAsia="zh-CN"/>
              </w:rPr>
              <w:t>公顷，占比75.65%，本项目所在区域属于</w:t>
            </w:r>
            <w:r>
              <w:rPr>
                <w:rFonts w:hint="default" w:ascii="Times New Roman" w:hAnsi="Times New Roman" w:cs="Times New Roman"/>
                <w:b w:val="0"/>
                <w:bCs w:val="0"/>
                <w:color w:val="auto"/>
                <w:highlight w:val="none"/>
                <w:lang w:val="en-US" w:eastAsia="zh-CN"/>
              </w:rPr>
              <w:t>半固定沙地</w:t>
            </w:r>
            <w:r>
              <w:rPr>
                <w:rFonts w:hint="eastAsia" w:ascii="Times New Roman" w:hAnsi="Times New Roman" w:cs="Times New Roman"/>
                <w:b w:val="0"/>
                <w:bCs w:val="0"/>
                <w:color w:val="auto"/>
                <w:highlight w:val="none"/>
                <w:lang w:val="en-US" w:eastAsia="zh-CN"/>
              </w:rPr>
              <w:t>，此类沙化土地在呼图壁县面积为151902.4公顷，占呼图壁县沙化土地的比例为57.84%。可知呼图壁县沙化土地面积较大，其中主要沙化土地类型为半固定沙地。</w:t>
            </w:r>
            <w:r>
              <w:rPr>
                <w:rFonts w:hint="eastAsia" w:cs="Times New Roman"/>
                <w:b w:val="0"/>
                <w:bCs w:val="0"/>
                <w:color w:val="auto"/>
                <w:highlight w:val="none"/>
                <w:lang w:val="en-US" w:eastAsia="zh-CN"/>
              </w:rPr>
              <w:t>本项目所在地沙化土地类型为半固定沙地，主要植被为白梭梭，植被总体覆盖度为20%～25%。</w:t>
            </w:r>
          </w:p>
          <w:p>
            <w:pPr>
              <w:pStyle w:val="10"/>
              <w:shd w:val="clear"/>
              <w:bidi w:val="0"/>
              <w:rPr>
                <w:rFonts w:hint="default" w:ascii="Times New Roman" w:hAnsi="Times New Roman"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lang w:val="zh-CN" w:eastAsia="zh-CN"/>
                <w14:textFill>
                  <w14:solidFill>
                    <w14:schemeClr w14:val="tx1"/>
                  </w14:solidFill>
                </w14:textFill>
              </w:rPr>
              <w:t>根据《新疆第</w:t>
            </w:r>
            <w: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t>六</w:t>
            </w:r>
            <w:r>
              <w:rPr>
                <w:rFonts w:hint="default" w:ascii="Times New Roman" w:hAnsi="Times New Roman" w:eastAsia="宋体" w:cs="Times New Roman"/>
                <w:b w:val="0"/>
                <w:bCs w:val="0"/>
                <w:color w:val="000000" w:themeColor="text1"/>
                <w:highlight w:val="none"/>
                <w:lang w:val="zh-CN" w:eastAsia="zh-CN"/>
                <w14:textFill>
                  <w14:solidFill>
                    <w14:schemeClr w14:val="tx1"/>
                  </w14:solidFill>
                </w14:textFill>
              </w:rPr>
              <w:t>次沙化土地监测报告》</w:t>
            </w:r>
            <w:r>
              <w:rPr>
                <w:rFonts w:hint="eastAsia" w:ascii="Times New Roman" w:hAnsi="Times New Roman" w:eastAsia="宋体" w:cs="Times New Roman"/>
                <w:b w:val="0"/>
                <w:bCs w:val="0"/>
                <w:color w:val="000000" w:themeColor="text1"/>
                <w:highlight w:val="none"/>
                <w:lang w:val="zh-CN" w:eastAsia="zh-CN"/>
                <w14:textFill>
                  <w14:solidFill>
                    <w14:schemeClr w14:val="tx1"/>
                  </w14:solidFill>
                </w14:textFill>
              </w:rPr>
              <w:t>，</w:t>
            </w:r>
            <w:r>
              <w:rPr>
                <w:rFonts w:hint="default"/>
                <w:highlight w:val="none"/>
              </w:rPr>
              <w:t>不同植被盖度土地沙化</w:t>
            </w:r>
            <w:r>
              <w:rPr>
                <w:rFonts w:hint="eastAsia"/>
                <w:highlight w:val="none"/>
                <w:lang w:eastAsia="zh-CN"/>
              </w:rPr>
              <w:t>程度</w:t>
            </w:r>
            <w:r>
              <w:rPr>
                <w:rFonts w:hint="default"/>
                <w:highlight w:val="none"/>
              </w:rPr>
              <w:t>分为轻度（植被总盖度&gt;40%）、中度（25%&lt;植被总盖度≤40%）、重度（10%&lt;植被总盖度≤25%）和极重度（植被总盖度≤10%）</w:t>
            </w:r>
            <w:r>
              <w:rPr>
                <w:rFonts w:hint="default"/>
                <w:highlight w:val="none"/>
                <w:lang w:val="en-US" w:eastAsia="zh-CN"/>
              </w:rPr>
              <w:t>。</w:t>
            </w:r>
            <w:r>
              <w:rPr>
                <w:rFonts w:hint="eastAsia"/>
                <w:highlight w:val="none"/>
                <w:lang w:val="en-US" w:eastAsia="zh-CN"/>
              </w:rPr>
              <w:t>根据植被覆盖度可以推断项目区沙化土地程度为重度。</w:t>
            </w:r>
            <w:r>
              <w:rPr>
                <w:rFonts w:hint="default" w:ascii="Times New Roman" w:hAnsi="Times New Roman" w:cs="Times New Roman"/>
                <w:b w:val="0"/>
                <w:bCs w:val="0"/>
                <w:color w:val="000000" w:themeColor="text1"/>
                <w:highlight w:val="none"/>
                <w:lang w:val="en-US" w:eastAsia="zh-CN"/>
                <w14:textFill>
                  <w14:solidFill>
                    <w14:schemeClr w14:val="tx1"/>
                  </w14:solidFill>
                </w14:textFill>
              </w:rPr>
              <w:t>本项目沙化土地类型</w:t>
            </w:r>
            <w:r>
              <w:rPr>
                <w:rFonts w:hint="default" w:ascii="Times New Roman" w:hAnsi="Times New Roman" w:cs="Times New Roman"/>
                <w:b w:val="0"/>
                <w:bCs w:val="0"/>
                <w:color w:val="000000" w:themeColor="text1"/>
                <w:highlight w:val="none"/>
                <w14:textFill>
                  <w14:solidFill>
                    <w14:schemeClr w14:val="tx1"/>
                  </w14:solidFill>
                </w14:textFill>
              </w:rPr>
              <w:t>见</w:t>
            </w:r>
            <w:r>
              <w:rPr>
                <w:rFonts w:hint="default" w:ascii="Times New Roman" w:hAnsi="Times New Roman" w:cs="Times New Roman"/>
                <w:b/>
                <w:bCs/>
                <w:color w:val="000000" w:themeColor="text1"/>
                <w:highlight w:val="none"/>
                <w14:textFill>
                  <w14:solidFill>
                    <w14:schemeClr w14:val="tx1"/>
                  </w14:solidFill>
                </w14:textFill>
              </w:rPr>
              <w:t>附图</w:t>
            </w:r>
            <w:r>
              <w:rPr>
                <w:rFonts w:hint="default" w:ascii="Times New Roman" w:hAnsi="Times New Roman" w:cs="Times New Roman"/>
                <w:b/>
                <w:bCs/>
                <w:color w:val="000000" w:themeColor="text1"/>
                <w:highlight w:val="none"/>
                <w:lang w:val="en-US" w:eastAsia="zh-CN"/>
                <w14:textFill>
                  <w14:solidFill>
                    <w14:schemeClr w14:val="tx1"/>
                  </w14:solidFill>
                </w14:textFill>
              </w:rPr>
              <w:t>1</w:t>
            </w:r>
            <w:r>
              <w:rPr>
                <w:rFonts w:hint="eastAsia" w:cs="Times New Roman"/>
                <w:b/>
                <w:bCs/>
                <w:color w:val="000000" w:themeColor="text1"/>
                <w:highlight w:val="none"/>
                <w:lang w:val="en-US" w:eastAsia="zh-CN"/>
                <w14:textFill>
                  <w14:solidFill>
                    <w14:schemeClr w14:val="tx1"/>
                  </w14:solidFill>
                </w14:textFill>
              </w:rPr>
              <w:t>2</w:t>
            </w:r>
            <w:r>
              <w:rPr>
                <w:rFonts w:hint="default" w:ascii="Times New Roman" w:hAnsi="Times New Roman" w:cs="Times New Roman"/>
                <w:b w:val="0"/>
                <w:bCs w:val="0"/>
                <w:color w:val="000000" w:themeColor="text1"/>
                <w:highlight w:val="none"/>
                <w14:textFill>
                  <w14:solidFill>
                    <w14:schemeClr w14:val="tx1"/>
                  </w14:solidFill>
                </w14:textFill>
              </w:rPr>
              <w:t>。</w:t>
            </w:r>
          </w:p>
          <w:p>
            <w:pPr>
              <w:pStyle w:val="54"/>
              <w:numPr>
                <w:ilvl w:val="0"/>
                <w:numId w:val="8"/>
              </w:numPr>
              <w:bidi w:val="0"/>
              <w:ind w:left="9" w:leftChars="0" w:firstLineChars="0"/>
              <w:rPr>
                <w:rFonts w:hint="default"/>
              </w:rPr>
            </w:pPr>
            <w:r>
              <w:rPr>
                <w:rFonts w:hint="default"/>
              </w:rPr>
              <w:t>区域环境质量现状</w:t>
            </w:r>
          </w:p>
          <w:p>
            <w:pPr>
              <w:pStyle w:val="10"/>
              <w:ind w:firstLine="480"/>
              <w:rPr>
                <w:rFonts w:hint="default" w:ascii="Times New Roman" w:hAnsi="Times New Roman" w:cs="Times New Roman"/>
                <w:b w:val="0"/>
                <w:bCs w:val="0"/>
                <w:color w:val="000000" w:themeColor="text1"/>
                <w14:textFill>
                  <w14:solidFill>
                    <w14:schemeClr w14:val="tx1"/>
                  </w14:solidFill>
                </w14:textFill>
              </w:rPr>
            </w:pPr>
            <w:bookmarkStart w:id="68" w:name="_Hlk136793645"/>
            <w:r>
              <w:rPr>
                <w:rFonts w:hint="default" w:ascii="Times New Roman" w:hAnsi="Times New Roman" w:cs="Times New Roman"/>
                <w:b w:val="0"/>
                <w:bCs w:val="0"/>
                <w:color w:val="000000" w:themeColor="text1"/>
                <w14:textFill>
                  <w14:solidFill>
                    <w14:schemeClr w14:val="tx1"/>
                  </w14:solidFill>
                </w14:textFill>
              </w:rPr>
              <w:t>（1）环境空气质量现状调查</w:t>
            </w:r>
          </w:p>
          <w:bookmarkEnd w:id="68"/>
          <w:p>
            <w:pPr>
              <w:pStyle w:val="10"/>
              <w:ind w:firstLine="480"/>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本</w:t>
            </w:r>
            <w:r>
              <w:rPr>
                <w:rFonts w:hint="default" w:ascii="Times New Roman" w:hAnsi="Times New Roman" w:cs="Times New Roman"/>
                <w:b w:val="0"/>
                <w:bCs w:val="0"/>
                <w:color w:val="000000" w:themeColor="text1"/>
                <w14:textFill>
                  <w14:solidFill>
                    <w14:schemeClr w14:val="tx1"/>
                  </w14:solidFill>
                </w14:textFill>
              </w:rPr>
              <w:t>项目所在地为</w:t>
            </w:r>
            <w:r>
              <w:rPr>
                <w:rFonts w:hint="eastAsia" w:ascii="Times New Roman" w:hAnsi="Times New Roman" w:cs="Times New Roman"/>
                <w:b w:val="0"/>
                <w:bCs w:val="0"/>
                <w:color w:val="000000" w:themeColor="text1"/>
                <w:lang w:val="en-US" w:eastAsia="zh-CN"/>
                <w14:textFill>
                  <w14:solidFill>
                    <w14:schemeClr w14:val="tx1"/>
                  </w14:solidFill>
                </w14:textFill>
              </w:rPr>
              <w:t>昌吉回族自治州</w:t>
            </w:r>
            <w:r>
              <w:rPr>
                <w:rFonts w:hint="eastAsia" w:ascii="Times New Roman" w:hAnsi="Times New Roman" w:cs="Times New Roman"/>
                <w:b w:val="0"/>
                <w:bCs w:val="0"/>
                <w:color w:val="000000" w:themeColor="text1"/>
                <w:lang w:eastAsia="zh-CN"/>
                <w14:textFill>
                  <w14:solidFill>
                    <w14:schemeClr w14:val="tx1"/>
                  </w14:solidFill>
                </w14:textFill>
              </w:rPr>
              <w:t>呼图壁县。</w:t>
            </w:r>
            <w:r>
              <w:rPr>
                <w:rFonts w:hint="default" w:ascii="Times New Roman" w:hAnsi="Times New Roman" w:cs="Times New Roman"/>
                <w:b w:val="0"/>
                <w:bCs w:val="0"/>
                <w:color w:val="000000" w:themeColor="text1"/>
                <w14:textFill>
                  <w14:solidFill>
                    <w14:schemeClr w14:val="tx1"/>
                  </w14:solidFill>
                </w14:textFill>
              </w:rPr>
              <w:t>根据生态环境部环境工程评估中心“</w:t>
            </w:r>
            <w:bookmarkStart w:id="69" w:name="OLE_LINK5"/>
            <w:bookmarkStart w:id="70" w:name="OLE_LINK2"/>
            <w:r>
              <w:rPr>
                <w:rFonts w:hint="default" w:ascii="Times New Roman" w:hAnsi="Times New Roman" w:cs="Times New Roman"/>
                <w:b w:val="0"/>
                <w:bCs w:val="0"/>
                <w:color w:val="000000" w:themeColor="text1"/>
                <w14:textFill>
                  <w14:solidFill>
                    <w14:schemeClr w14:val="tx1"/>
                  </w14:solidFill>
                </w14:textFill>
              </w:rPr>
              <w:t>环境空气质量模型技术支持服务系</w:t>
            </w:r>
            <w:bookmarkEnd w:id="69"/>
            <w:r>
              <w:rPr>
                <w:rFonts w:hint="default" w:ascii="Times New Roman" w:hAnsi="Times New Roman" w:cs="Times New Roman"/>
                <w:b w:val="0"/>
                <w:bCs w:val="0"/>
                <w:color w:val="000000" w:themeColor="text1"/>
                <w14:textFill>
                  <w14:solidFill>
                    <w14:schemeClr w14:val="tx1"/>
                  </w14:solidFill>
                </w14:textFill>
              </w:rPr>
              <w:t>统</w:t>
            </w:r>
            <w:bookmarkEnd w:id="70"/>
            <w:r>
              <w:rPr>
                <w:rFonts w:hint="default" w:ascii="Times New Roman" w:hAnsi="Times New Roman" w:cs="Times New Roman"/>
                <w:b w:val="0"/>
                <w:bCs w:val="0"/>
                <w:color w:val="000000" w:themeColor="text1"/>
                <w14:textFill>
                  <w14:solidFill>
                    <w14:schemeClr w14:val="tx1"/>
                  </w14:solidFill>
                </w14:textFill>
              </w:rPr>
              <w:t>”发布的数据显示，</w:t>
            </w:r>
            <w:r>
              <w:rPr>
                <w:rFonts w:hint="eastAsia" w:ascii="Times New Roman" w:hAnsi="Times New Roman" w:cs="Times New Roman"/>
                <w:b w:val="0"/>
                <w:bCs w:val="0"/>
                <w:color w:val="000000" w:themeColor="text1"/>
                <w:lang w:val="en-US" w:eastAsia="zh-CN"/>
                <w14:textFill>
                  <w14:solidFill>
                    <w14:schemeClr w14:val="tx1"/>
                  </w14:solidFill>
                </w14:textFill>
              </w:rPr>
              <w:t>昌吉回族自治州</w:t>
            </w:r>
            <w:r>
              <w:rPr>
                <w:rFonts w:hint="default" w:ascii="Times New Roman" w:hAnsi="Times New Roman" w:cs="Times New Roman"/>
                <w:b w:val="0"/>
                <w:bCs w:val="0"/>
                <w:color w:val="000000" w:themeColor="text1"/>
                <w14:textFill>
                  <w14:solidFill>
                    <w14:schemeClr w14:val="tx1"/>
                  </w14:solidFill>
                </w14:textFill>
              </w:rPr>
              <w:t>202</w:t>
            </w:r>
            <w:r>
              <w:rPr>
                <w:rFonts w:hint="eastAsia" w:ascii="Times New Roman" w:hAnsi="Times New Roman" w:cs="Times New Roman"/>
                <w:b w:val="0"/>
                <w:bCs w:val="0"/>
                <w:color w:val="000000" w:themeColor="text1"/>
                <w:lang w:val="en-US" w:eastAsia="zh-CN"/>
                <w14:textFill>
                  <w14:solidFill>
                    <w14:schemeClr w14:val="tx1"/>
                  </w14:solidFill>
                </w14:textFill>
              </w:rPr>
              <w:t>4</w:t>
            </w:r>
            <w:r>
              <w:rPr>
                <w:rFonts w:hint="default" w:ascii="Times New Roman" w:hAnsi="Times New Roman" w:cs="Times New Roman"/>
                <w:b w:val="0"/>
                <w:bCs w:val="0"/>
                <w:color w:val="000000" w:themeColor="text1"/>
                <w14:textFill>
                  <w14:solidFill>
                    <w14:schemeClr w14:val="tx1"/>
                  </w14:solidFill>
                </w14:textFill>
              </w:rPr>
              <w:t>年基本污染物</w:t>
            </w:r>
            <w:r>
              <w:rPr>
                <w:rFonts w:hint="eastAsia" w:ascii="Times New Roman" w:hAnsi="Times New Roman" w:cs="Times New Roman"/>
                <w:b w:val="0"/>
                <w:bCs w:val="0"/>
                <w:color w:val="000000" w:themeColor="text1"/>
                <w:lang w:val="en-US" w:eastAsia="zh-CN"/>
                <w14:textFill>
                  <w14:solidFill>
                    <w14:schemeClr w14:val="tx1"/>
                  </w14:solidFill>
                </w14:textFill>
              </w:rPr>
              <w:t>中除</w:t>
            </w:r>
            <w:r>
              <w:rPr>
                <w:rFonts w:hint="default" w:ascii="Times New Roman" w:hAnsi="Times New Roman" w:cs="Times New Roman"/>
                <w:b w:val="0"/>
                <w:bCs w:val="0"/>
                <w:color w:val="000000" w:themeColor="text1"/>
                <w14:textFill>
                  <w14:solidFill>
                    <w14:schemeClr w14:val="tx1"/>
                  </w14:solidFill>
                </w14:textFill>
              </w:rPr>
              <w:t>PM</w:t>
            </w:r>
            <w:r>
              <w:rPr>
                <w:rFonts w:hint="default" w:ascii="Times New Roman" w:hAnsi="Times New Roman" w:cs="Times New Roman"/>
                <w:b w:val="0"/>
                <w:bCs w:val="0"/>
                <w:color w:val="000000" w:themeColor="text1"/>
                <w:vertAlign w:val="subscript"/>
                <w14:textFill>
                  <w14:solidFill>
                    <w14:schemeClr w14:val="tx1"/>
                  </w14:solidFill>
                </w14:textFill>
              </w:rPr>
              <w:t>2.5</w:t>
            </w:r>
            <w:r>
              <w:rPr>
                <w:rFonts w:hint="eastAsia" w:ascii="Times New Roman" w:hAnsi="Times New Roman" w:cs="Times New Roman"/>
                <w:b w:val="0"/>
                <w:bCs w:val="0"/>
                <w:color w:val="000000" w:themeColor="text1"/>
                <w:vertAlign w:val="baseline"/>
                <w:lang w:val="en-US" w:eastAsia="zh-CN"/>
                <w14:textFill>
                  <w14:solidFill>
                    <w14:schemeClr w14:val="tx1"/>
                  </w14:solidFill>
                </w14:textFill>
              </w:rPr>
              <w:t>超标外，</w:t>
            </w:r>
            <w:r>
              <w:rPr>
                <w:rFonts w:hint="default" w:ascii="Times New Roman" w:hAnsi="Times New Roman" w:cs="Times New Roman"/>
                <w:b w:val="0"/>
                <w:bCs w:val="0"/>
                <w:color w:val="000000" w:themeColor="text1"/>
                <w14:textFill>
                  <w14:solidFill>
                    <w14:schemeClr w14:val="tx1"/>
                  </w14:solidFill>
                </w14:textFill>
              </w:rPr>
              <w:t>SO</w:t>
            </w:r>
            <w:r>
              <w:rPr>
                <w:rFonts w:hint="default" w:ascii="Times New Roman" w:hAnsi="Times New Roman" w:cs="Times New Roman"/>
                <w:b w:val="0"/>
                <w:bCs w:val="0"/>
                <w:color w:val="000000" w:themeColor="text1"/>
                <w:vertAlign w:val="subscript"/>
                <w14:textFill>
                  <w14:solidFill>
                    <w14:schemeClr w14:val="tx1"/>
                  </w14:solidFill>
                </w14:textFill>
              </w:rPr>
              <w:t>2</w:t>
            </w:r>
            <w:r>
              <w:rPr>
                <w:rFonts w:hint="default" w:ascii="Times New Roman" w:hAnsi="Times New Roman" w:cs="Times New Roman"/>
                <w:b w:val="0"/>
                <w:bCs w:val="0"/>
                <w:color w:val="000000" w:themeColor="text1"/>
                <w14:textFill>
                  <w14:solidFill>
                    <w14:schemeClr w14:val="tx1"/>
                  </w14:solidFill>
                </w14:textFill>
              </w:rPr>
              <w:t>、NO</w:t>
            </w:r>
            <w:r>
              <w:rPr>
                <w:rFonts w:hint="default" w:ascii="Times New Roman" w:hAnsi="Times New Roman" w:cs="Times New Roman"/>
                <w:b w:val="0"/>
                <w:bCs w:val="0"/>
                <w:color w:val="000000" w:themeColor="text1"/>
                <w:vertAlign w:val="subscript"/>
                <w14:textFill>
                  <w14:solidFill>
                    <w14:schemeClr w14:val="tx1"/>
                  </w14:solidFill>
                </w14:textFill>
              </w:rPr>
              <w:t>2</w:t>
            </w:r>
            <w:r>
              <w:rPr>
                <w:rFonts w:hint="default" w:ascii="Times New Roman" w:hAnsi="Times New Roman" w:cs="Times New Roman"/>
                <w:b w:val="0"/>
                <w:bCs w:val="0"/>
                <w:color w:val="000000" w:themeColor="text1"/>
                <w14:textFill>
                  <w14:solidFill>
                    <w14:schemeClr w14:val="tx1"/>
                  </w14:solidFill>
                </w14:textFill>
              </w:rPr>
              <w:t>、PM</w:t>
            </w:r>
            <w:r>
              <w:rPr>
                <w:rFonts w:hint="default" w:ascii="Times New Roman" w:hAnsi="Times New Roman" w:cs="Times New Roman"/>
                <w:b w:val="0"/>
                <w:bCs w:val="0"/>
                <w:color w:val="000000" w:themeColor="text1"/>
                <w:vertAlign w:val="subscript"/>
                <w14:textFill>
                  <w14:solidFill>
                    <w14:schemeClr w14:val="tx1"/>
                  </w14:solidFill>
                </w14:textFill>
              </w:rPr>
              <w:t>10</w:t>
            </w:r>
            <w:r>
              <w:rPr>
                <w:rFonts w:hint="default" w:ascii="Times New Roman" w:hAnsi="Times New Roman" w:cs="Times New Roman"/>
                <w:b w:val="0"/>
                <w:bCs w:val="0"/>
                <w:color w:val="000000" w:themeColor="text1"/>
                <w14:textFill>
                  <w14:solidFill>
                    <w14:schemeClr w14:val="tx1"/>
                  </w14:solidFill>
                </w14:textFill>
              </w:rPr>
              <w:t>、PM</w:t>
            </w:r>
            <w:r>
              <w:rPr>
                <w:rFonts w:hint="default" w:ascii="Times New Roman" w:hAnsi="Times New Roman" w:cs="Times New Roman"/>
                <w:b w:val="0"/>
                <w:bCs w:val="0"/>
                <w:color w:val="000000" w:themeColor="text1"/>
                <w:vertAlign w:val="subscript"/>
                <w14:textFill>
                  <w14:solidFill>
                    <w14:schemeClr w14:val="tx1"/>
                  </w14:solidFill>
                </w14:textFill>
              </w:rPr>
              <w:t>2.5</w:t>
            </w:r>
            <w:r>
              <w:rPr>
                <w:rFonts w:hint="default" w:ascii="Times New Roman" w:hAnsi="Times New Roman" w:cs="Times New Roman"/>
                <w:b w:val="0"/>
                <w:bCs w:val="0"/>
                <w:color w:val="000000" w:themeColor="text1"/>
                <w14:textFill>
                  <w14:solidFill>
                    <w14:schemeClr w14:val="tx1"/>
                  </w14:solidFill>
                </w14:textFill>
              </w:rPr>
              <w:t>年均浓度</w:t>
            </w:r>
            <w:r>
              <w:rPr>
                <w:rFonts w:hint="eastAsia" w:ascii="Times New Roman" w:hAnsi="Times New Roman" w:cs="Times New Roman"/>
                <w:b w:val="0"/>
                <w:bCs w:val="0"/>
                <w:color w:val="000000" w:themeColor="text1"/>
                <w:lang w:eastAsia="zh-CN"/>
                <w14:textFill>
                  <w14:solidFill>
                    <w14:schemeClr w14:val="tx1"/>
                  </w14:solidFill>
                </w14:textFill>
              </w:rPr>
              <w:t>、</w:t>
            </w:r>
            <w:r>
              <w:rPr>
                <w:rFonts w:hint="default" w:ascii="Times New Roman" w:hAnsi="Times New Roman" w:cs="Times New Roman"/>
                <w:b w:val="0"/>
                <w:bCs w:val="0"/>
                <w:color w:val="000000" w:themeColor="text1"/>
                <w14:textFill>
                  <w14:solidFill>
                    <w14:schemeClr w14:val="tx1"/>
                  </w14:solidFill>
                </w14:textFill>
              </w:rPr>
              <w:t>CO 24小时平均第95百分位数</w:t>
            </w:r>
            <w:r>
              <w:rPr>
                <w:rFonts w:hint="eastAsia" w:ascii="Times New Roman" w:hAnsi="Times New Roman" w:cs="Times New Roman"/>
                <w:b w:val="0"/>
                <w:bCs w:val="0"/>
                <w:color w:val="000000" w:themeColor="text1"/>
                <w:lang w:eastAsia="zh-CN"/>
                <w14:textFill>
                  <w14:solidFill>
                    <w14:schemeClr w14:val="tx1"/>
                  </w14:solidFill>
                </w14:textFill>
              </w:rPr>
              <w:t>、</w:t>
            </w:r>
            <w:r>
              <w:rPr>
                <w:rFonts w:hint="default" w:ascii="Times New Roman" w:hAnsi="Times New Roman" w:cs="Times New Roman"/>
                <w:b w:val="0"/>
                <w:bCs w:val="0"/>
                <w:color w:val="000000" w:themeColor="text1"/>
                <w14:textFill>
                  <w14:solidFill>
                    <w14:schemeClr w14:val="tx1"/>
                  </w14:solidFill>
                </w14:textFill>
              </w:rPr>
              <w:t>O</w:t>
            </w:r>
            <w:r>
              <w:rPr>
                <w:rFonts w:hint="default" w:ascii="Times New Roman" w:hAnsi="Times New Roman" w:cs="Times New Roman"/>
                <w:b w:val="0"/>
                <w:bCs w:val="0"/>
                <w:color w:val="000000" w:themeColor="text1"/>
                <w:vertAlign w:val="subscript"/>
                <w14:textFill>
                  <w14:solidFill>
                    <w14:schemeClr w14:val="tx1"/>
                  </w14:solidFill>
                </w14:textFill>
              </w:rPr>
              <w:t>3</w:t>
            </w:r>
            <w:r>
              <w:rPr>
                <w:rFonts w:hint="default" w:ascii="Times New Roman" w:hAnsi="Times New Roman" w:cs="Times New Roman"/>
                <w:b w:val="0"/>
                <w:bCs w:val="0"/>
                <w:color w:val="000000" w:themeColor="text1"/>
                <w14:textFill>
                  <w14:solidFill>
                    <w14:schemeClr w14:val="tx1"/>
                  </w14:solidFill>
                </w14:textFill>
              </w:rPr>
              <w:t>最大8小时平均第90百分位数</w:t>
            </w:r>
            <w:r>
              <w:rPr>
                <w:rFonts w:hint="eastAsia" w:ascii="Times New Roman" w:hAnsi="Times New Roman" w:cs="Times New Roman"/>
                <w:b w:val="0"/>
                <w:bCs w:val="0"/>
                <w:color w:val="000000" w:themeColor="text1"/>
                <w:lang w:val="en-US" w:eastAsia="zh-CN"/>
                <w14:textFill>
                  <w14:solidFill>
                    <w14:schemeClr w14:val="tx1"/>
                  </w14:solidFill>
                </w14:textFill>
              </w:rPr>
              <w:t>可满足</w:t>
            </w:r>
            <w:r>
              <w:rPr>
                <w:rFonts w:hint="default" w:ascii="Times New Roman" w:hAnsi="Times New Roman" w:cs="Times New Roman"/>
                <w:b w:val="0"/>
                <w:bCs w:val="0"/>
                <w:color w:val="000000" w:themeColor="text1"/>
                <w14:textFill>
                  <w14:solidFill>
                    <w14:schemeClr w14:val="tx1"/>
                  </w14:solidFill>
                </w14:textFill>
              </w:rPr>
              <w:t>《环境空气质量标准》（GB3095-2012）二级标准</w:t>
            </w:r>
            <w:r>
              <w:rPr>
                <w:rFonts w:hint="eastAsia" w:ascii="Times New Roman" w:hAnsi="Times New Roman" w:cs="Times New Roman"/>
                <w:b w:val="0"/>
                <w:bCs w:val="0"/>
                <w:color w:val="000000" w:themeColor="text1"/>
                <w:lang w:val="en-US" w:eastAsia="zh-CN"/>
                <w14:textFill>
                  <w14:solidFill>
                    <w14:schemeClr w14:val="tx1"/>
                  </w14:solidFill>
                </w14:textFill>
              </w:rPr>
              <w:t>限值。</w:t>
            </w:r>
            <w:bookmarkStart w:id="71" w:name="_Ref21430043"/>
            <w:r>
              <w:rPr>
                <w:rFonts w:hint="eastAsia" w:ascii="Times New Roman" w:hAnsi="Times New Roman" w:cs="Times New Roman"/>
                <w:b w:val="0"/>
                <w:bCs w:val="0"/>
                <w:color w:val="000000" w:themeColor="text1"/>
                <w:lang w:val="en-US" w:eastAsia="zh-CN"/>
                <w14:textFill>
                  <w14:solidFill>
                    <w14:schemeClr w14:val="tx1"/>
                  </w14:solidFill>
                </w14:textFill>
              </w:rPr>
              <w:t>项目区位于环境空气质量不达标区。</w:t>
            </w:r>
            <w:r>
              <w:rPr>
                <w:rFonts w:hint="default" w:ascii="Times New Roman" w:hAnsi="Times New Roman" w:cs="Times New Roman"/>
                <w:color w:val="0D0D0D" w:themeColor="text1" w:themeTint="F2"/>
                <w:sz w:val="24"/>
                <w:szCs w:val="24"/>
                <w14:textFill>
                  <w14:solidFill>
                    <w14:schemeClr w14:val="tx1">
                      <w14:lumMod w14:val="95000"/>
                      <w14:lumOff w14:val="5000"/>
                    </w14:schemeClr>
                  </w14:solidFill>
                </w14:textFill>
              </w:rPr>
              <w:t>具体数据见</w:t>
            </w:r>
            <w:r>
              <w:rPr>
                <w:rFonts w:hint="eastAsia" w:ascii="Times New Roman" w:hAnsi="Times New Roman" w:cs="Times New Roman"/>
                <w:color w:val="0D0D0D" w:themeColor="text1" w:themeTint="F2"/>
                <w:sz w:val="24"/>
                <w:szCs w:val="24"/>
                <w:lang w:val="en-US" w:eastAsia="zh-CN"/>
                <w14:textFill>
                  <w14:solidFill>
                    <w14:schemeClr w14:val="tx1">
                      <w14:lumMod w14:val="95000"/>
                      <w14:lumOff w14:val="5000"/>
                    </w14:schemeClr>
                  </w14:solidFill>
                </w14:textFill>
              </w:rPr>
              <w:t>表3-2</w:t>
            </w:r>
            <w:r>
              <w:rPr>
                <w:rFonts w:hint="default" w:ascii="Times New Roman" w:hAnsi="Times New Roman" w:cs="Times New Roman"/>
                <w:color w:val="0D0D0D" w:themeColor="text1" w:themeTint="F2"/>
                <w:sz w:val="24"/>
                <w:szCs w:val="24"/>
                <w14:textFill>
                  <w14:solidFill>
                    <w14:schemeClr w14:val="tx1">
                      <w14:lumMod w14:val="95000"/>
                      <w14:lumOff w14:val="5000"/>
                    </w14:schemeClr>
                  </w14:solidFill>
                </w14:textFill>
              </w:rPr>
              <w:t>。</w:t>
            </w:r>
          </w:p>
          <w:p>
            <w:pPr>
              <w:pStyle w:val="10"/>
              <w:ind w:firstLine="480"/>
              <w:jc w:val="center"/>
              <w:rPr>
                <w:rFonts w:hint="default" w:ascii="Times New Roman" w:hAnsi="Times New Roman" w:eastAsia="黑体" w:cs="Times New Roman"/>
                <w:b w:val="0"/>
                <w:bCs w:val="0"/>
                <w:color w:val="000000" w:themeColor="text1"/>
                <w:sz w:val="21"/>
                <w:szCs w:val="21"/>
                <w14:textFill>
                  <w14:solidFill>
                    <w14:schemeClr w14:val="tx1"/>
                  </w14:solidFill>
                </w14:textFill>
              </w:rPr>
            </w:pPr>
            <w:r>
              <w:rPr>
                <w:rFonts w:hint="default" w:ascii="Times New Roman" w:hAnsi="Times New Roman" w:eastAsia="黑体" w:cs="Times New Roman"/>
                <w:b w:val="0"/>
                <w:bCs w:val="0"/>
                <w:color w:val="000000" w:themeColor="text1"/>
                <w:sz w:val="21"/>
                <w:szCs w:val="21"/>
                <w14:textFill>
                  <w14:solidFill>
                    <w14:schemeClr w14:val="tx1"/>
                  </w14:solidFill>
                </w14:textFill>
              </w:rPr>
              <w:t>表</w:t>
            </w:r>
            <w:r>
              <w:rPr>
                <w:rFonts w:hint="default" w:ascii="Times New Roman" w:hAnsi="Times New Roman" w:eastAsia="黑体" w:cs="Times New Roman"/>
                <w:b w:val="0"/>
                <w:bCs w:val="0"/>
                <w:color w:val="000000" w:themeColor="text1"/>
                <w:sz w:val="21"/>
                <w:szCs w:val="21"/>
                <w:lang w:val="en-US" w:eastAsia="zh-CN"/>
                <w14:textFill>
                  <w14:solidFill>
                    <w14:schemeClr w14:val="tx1"/>
                  </w14:solidFill>
                </w14:textFill>
              </w:rPr>
              <w:t>3-2</w:t>
            </w:r>
            <w:r>
              <w:rPr>
                <w:rFonts w:hint="default" w:ascii="Times New Roman" w:hAnsi="Times New Roman" w:eastAsia="黑体" w:cs="Times New Roman"/>
                <w:b w:val="0"/>
                <w:bCs w:val="0"/>
                <w:color w:val="000000" w:themeColor="text1"/>
                <w:sz w:val="21"/>
                <w:szCs w:val="21"/>
                <w14:textFill>
                  <w14:solidFill>
                    <w14:schemeClr w14:val="tx1"/>
                  </w14:solidFill>
                </w14:textFill>
              </w:rPr>
              <w:t xml:space="preserve">  大气质量及评价结果一览表</w:t>
            </w:r>
          </w:p>
          <w:tbl>
            <w:tblPr>
              <w:tblStyle w:val="27"/>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28" w:type="dxa"/>
                <w:bottom w:w="0" w:type="dxa"/>
                <w:right w:w="28" w:type="dxa"/>
              </w:tblCellMar>
            </w:tblPr>
            <w:tblGrid>
              <w:gridCol w:w="1030"/>
              <w:gridCol w:w="2178"/>
              <w:gridCol w:w="1189"/>
              <w:gridCol w:w="1189"/>
              <w:gridCol w:w="1070"/>
              <w:gridCol w:w="773"/>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0" w:hRule="atLeast"/>
                <w:jc w:val="center"/>
              </w:trPr>
              <w:tc>
                <w:tcPr>
                  <w:tcW w:w="694" w:type="pct"/>
                  <w:tcBorders>
                    <w:top w:val="single" w:color="auto" w:sz="12" w:space="0"/>
                    <w:left w:val="nil"/>
                    <w:bottom w:val="single" w:color="auto" w:sz="6" w:space="0"/>
                    <w:right w:val="single" w:color="auto" w:sz="6" w:space="0"/>
                  </w:tcBorders>
                  <w:vAlign w:val="center"/>
                </w:tcPr>
                <w:p>
                  <w:pPr>
                    <w:pStyle w:val="35"/>
                    <w:bidi w:val="0"/>
                    <w:rPr>
                      <w:rFonts w:hint="default" w:ascii="Times New Roman" w:hAnsi="Times New Roman" w:eastAsia="宋体" w:cs="Times New Roman"/>
                      <w:color w:val="000000" w:themeColor="text1"/>
                      <w:szCs w:val="21"/>
                      <w14:textFill>
                        <w14:solidFill>
                          <w14:schemeClr w14:val="tx1"/>
                        </w14:solidFill>
                      </w14:textFill>
                    </w:rPr>
                  </w:pPr>
                  <w:r>
                    <w:rPr>
                      <w:rFonts w:hint="default"/>
                    </w:rPr>
                    <w:t>监测因子</w:t>
                  </w:r>
                </w:p>
              </w:tc>
              <w:tc>
                <w:tcPr>
                  <w:tcW w:w="1466" w:type="pct"/>
                  <w:tcBorders>
                    <w:top w:val="single" w:color="auto" w:sz="12" w:space="0"/>
                    <w:left w:val="single" w:color="auto" w:sz="6" w:space="0"/>
                    <w:bottom w:val="single" w:color="auto" w:sz="6" w:space="0"/>
                    <w:right w:val="single" w:color="auto" w:sz="6" w:space="0"/>
                  </w:tcBorders>
                  <w:vAlign w:val="center"/>
                </w:tcPr>
                <w:p>
                  <w:pPr>
                    <w:pStyle w:val="35"/>
                    <w:bidi w:val="0"/>
                    <w:rPr>
                      <w:rFonts w:hint="default" w:ascii="Times New Roman" w:hAnsi="Times New Roman" w:eastAsia="宋体" w:cs="Times New Roman"/>
                      <w:color w:val="000000" w:themeColor="text1"/>
                      <w:szCs w:val="21"/>
                      <w14:textFill>
                        <w14:solidFill>
                          <w14:schemeClr w14:val="tx1"/>
                        </w14:solidFill>
                      </w14:textFill>
                    </w:rPr>
                  </w:pPr>
                  <w:r>
                    <w:rPr>
                      <w:rFonts w:hint="default"/>
                    </w:rPr>
                    <w:t>年评价指标</w:t>
                  </w:r>
                </w:p>
              </w:tc>
              <w:tc>
                <w:tcPr>
                  <w:tcW w:w="800" w:type="pct"/>
                  <w:tcBorders>
                    <w:top w:val="single" w:color="auto" w:sz="12" w:space="0"/>
                    <w:left w:val="single" w:color="auto" w:sz="6" w:space="0"/>
                    <w:bottom w:val="single" w:color="auto" w:sz="6" w:space="0"/>
                    <w:right w:val="single" w:color="auto" w:sz="6" w:space="0"/>
                  </w:tcBorders>
                  <w:vAlign w:val="center"/>
                </w:tcPr>
                <w:p>
                  <w:pPr>
                    <w:pStyle w:val="35"/>
                    <w:bidi w:val="0"/>
                    <w:rPr>
                      <w:rFonts w:hint="default"/>
                    </w:rPr>
                  </w:pPr>
                  <w:r>
                    <w:rPr>
                      <w:rFonts w:hint="default"/>
                    </w:rPr>
                    <w:t>标准值</w:t>
                  </w:r>
                </w:p>
                <w:p>
                  <w:pPr>
                    <w:pStyle w:val="35"/>
                    <w:bidi w:val="0"/>
                    <w:rPr>
                      <w:rFonts w:hint="default" w:ascii="Times New Roman" w:hAnsi="Times New Roman" w:eastAsia="宋体" w:cs="Times New Roman"/>
                      <w:color w:val="000000" w:themeColor="text1"/>
                      <w:szCs w:val="21"/>
                      <w:vertAlign w:val="baseline"/>
                      <w:lang w:val="en-US" w:eastAsia="zh-CN"/>
                      <w14:textFill>
                        <w14:solidFill>
                          <w14:schemeClr w14:val="tx1"/>
                        </w14:solidFill>
                      </w14:textFill>
                    </w:rPr>
                  </w:pPr>
                  <w:r>
                    <w:rPr>
                      <w:rFonts w:hint="default"/>
                      <w:lang w:eastAsia="zh-CN"/>
                    </w:rPr>
                    <w:t>(</w:t>
                  </w:r>
                  <w:r>
                    <w:rPr>
                      <w:rFonts w:hint="default"/>
                    </w:rPr>
                    <w:t>μg/m</w:t>
                  </w:r>
                  <w:r>
                    <w:rPr>
                      <w:rFonts w:hint="default"/>
                      <w:vertAlign w:val="superscript"/>
                    </w:rPr>
                    <w:t>3</w:t>
                  </w:r>
                  <w:r>
                    <w:rPr>
                      <w:rFonts w:hint="default"/>
                      <w:lang w:val="en-US" w:eastAsia="zh-CN"/>
                    </w:rPr>
                    <w:t>)</w:t>
                  </w:r>
                </w:p>
              </w:tc>
              <w:tc>
                <w:tcPr>
                  <w:tcW w:w="800" w:type="pct"/>
                  <w:tcBorders>
                    <w:top w:val="single" w:color="auto" w:sz="12" w:space="0"/>
                    <w:left w:val="single" w:color="auto" w:sz="6" w:space="0"/>
                    <w:bottom w:val="single" w:color="auto" w:sz="6" w:space="0"/>
                    <w:right w:val="single" w:color="auto" w:sz="6" w:space="0"/>
                  </w:tcBorders>
                  <w:vAlign w:val="center"/>
                </w:tcPr>
                <w:p>
                  <w:pPr>
                    <w:pStyle w:val="35"/>
                    <w:bidi w:val="0"/>
                    <w:rPr>
                      <w:rFonts w:hint="default"/>
                    </w:rPr>
                  </w:pPr>
                  <w:r>
                    <w:rPr>
                      <w:rFonts w:hint="default"/>
                    </w:rPr>
                    <w:t>现状浓度</w:t>
                  </w:r>
                </w:p>
                <w:p>
                  <w:pPr>
                    <w:pStyle w:val="35"/>
                    <w:bidi w:val="0"/>
                    <w:rPr>
                      <w:rFonts w:hint="default" w:ascii="Times New Roman" w:hAnsi="Times New Roman" w:eastAsia="宋体" w:cs="Times New Roman"/>
                      <w:color w:val="000000" w:themeColor="text1"/>
                      <w:szCs w:val="21"/>
                      <w14:textFill>
                        <w14:solidFill>
                          <w14:schemeClr w14:val="tx1"/>
                        </w14:solidFill>
                      </w14:textFill>
                    </w:rPr>
                  </w:pPr>
                  <w:r>
                    <w:rPr>
                      <w:rFonts w:hint="default"/>
                    </w:rPr>
                    <w:t>(μg/m</w:t>
                  </w:r>
                  <w:r>
                    <w:rPr>
                      <w:rFonts w:hint="default"/>
                      <w:vertAlign w:val="superscript"/>
                    </w:rPr>
                    <w:t>3</w:t>
                  </w:r>
                  <w:r>
                    <w:rPr>
                      <w:rFonts w:hint="default"/>
                    </w:rPr>
                    <w:t>)</w:t>
                  </w:r>
                </w:p>
              </w:tc>
              <w:tc>
                <w:tcPr>
                  <w:tcW w:w="720" w:type="pct"/>
                  <w:tcBorders>
                    <w:top w:val="single" w:color="auto" w:sz="12" w:space="0"/>
                    <w:left w:val="single" w:color="auto" w:sz="6" w:space="0"/>
                    <w:bottom w:val="single" w:color="auto" w:sz="6" w:space="0"/>
                    <w:right w:val="single" w:color="auto" w:sz="6" w:space="0"/>
                  </w:tcBorders>
                  <w:vAlign w:val="center"/>
                </w:tcPr>
                <w:p>
                  <w:pPr>
                    <w:pStyle w:val="35"/>
                    <w:bidi w:val="0"/>
                    <w:rPr>
                      <w:rFonts w:hint="default"/>
                    </w:rPr>
                  </w:pPr>
                  <w:r>
                    <w:rPr>
                      <w:rFonts w:hint="default"/>
                    </w:rPr>
                    <w:t>占标率</w:t>
                  </w:r>
                </w:p>
                <w:p>
                  <w:pPr>
                    <w:pStyle w:val="35"/>
                    <w:bidi w:val="0"/>
                    <w:rPr>
                      <w:rFonts w:hint="default" w:ascii="Times New Roman" w:hAnsi="Times New Roman" w:eastAsia="宋体" w:cs="Times New Roman"/>
                      <w:color w:val="000000" w:themeColor="text1"/>
                      <w:szCs w:val="21"/>
                      <w14:textFill>
                        <w14:solidFill>
                          <w14:schemeClr w14:val="tx1"/>
                        </w14:solidFill>
                      </w14:textFill>
                    </w:rPr>
                  </w:pPr>
                  <w:r>
                    <w:rPr>
                      <w:rFonts w:hint="default"/>
                    </w:rPr>
                    <w:t>（%）</w:t>
                  </w:r>
                </w:p>
              </w:tc>
              <w:tc>
                <w:tcPr>
                  <w:tcW w:w="521" w:type="pct"/>
                  <w:tcBorders>
                    <w:top w:val="single" w:color="auto" w:sz="12" w:space="0"/>
                    <w:left w:val="single" w:color="auto" w:sz="6" w:space="0"/>
                    <w:bottom w:val="single" w:color="auto" w:sz="6" w:space="0"/>
                    <w:right w:val="nil"/>
                  </w:tcBorders>
                  <w:vAlign w:val="center"/>
                </w:tcPr>
                <w:p>
                  <w:pPr>
                    <w:pStyle w:val="35"/>
                    <w:bidi w:val="0"/>
                    <w:rPr>
                      <w:rFonts w:hint="default"/>
                    </w:rPr>
                  </w:pPr>
                  <w:r>
                    <w:rPr>
                      <w:rFonts w:hint="default"/>
                    </w:rPr>
                    <w:t>达标</w:t>
                  </w:r>
                </w:p>
                <w:p>
                  <w:pPr>
                    <w:pStyle w:val="35"/>
                    <w:bidi w:val="0"/>
                    <w:rPr>
                      <w:rFonts w:hint="default" w:ascii="Times New Roman" w:hAnsi="Times New Roman" w:eastAsia="宋体" w:cs="Times New Roman"/>
                      <w:color w:val="000000" w:themeColor="text1"/>
                      <w:szCs w:val="21"/>
                      <w14:textFill>
                        <w14:solidFill>
                          <w14:schemeClr w14:val="tx1"/>
                        </w14:solidFill>
                      </w14:textFill>
                    </w:rPr>
                  </w:pPr>
                  <w:r>
                    <w:rPr>
                      <w:rFonts w:hint="default"/>
                    </w:rPr>
                    <w:t>情况</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0" w:hRule="atLeast"/>
                <w:jc w:val="center"/>
              </w:trPr>
              <w:tc>
                <w:tcPr>
                  <w:tcW w:w="694" w:type="pct"/>
                  <w:tcBorders>
                    <w:top w:val="single" w:color="auto" w:sz="6" w:space="0"/>
                    <w:left w:val="nil"/>
                    <w:bottom w:val="single" w:color="auto" w:sz="6" w:space="0"/>
                    <w:right w:val="single" w:color="auto" w:sz="6" w:space="0"/>
                  </w:tcBorders>
                  <w:vAlign w:val="center"/>
                </w:tcPr>
                <w:p>
                  <w:pPr>
                    <w:pStyle w:val="35"/>
                    <w:bidi w:val="0"/>
                    <w:rPr>
                      <w:rFonts w:hint="default" w:ascii="Times New Roman" w:hAnsi="Times New Roman" w:eastAsia="宋体" w:cs="Times New Roman"/>
                      <w:color w:val="000000" w:themeColor="text1"/>
                      <w:szCs w:val="21"/>
                      <w14:textFill>
                        <w14:solidFill>
                          <w14:schemeClr w14:val="tx1"/>
                        </w14:solidFill>
                      </w14:textFill>
                    </w:rPr>
                  </w:pPr>
                  <w:r>
                    <w:rPr>
                      <w:rFonts w:hint="default"/>
                    </w:rPr>
                    <w:t>SO</w:t>
                  </w:r>
                  <w:r>
                    <w:rPr>
                      <w:rFonts w:hint="default"/>
                      <w:vertAlign w:val="subscript"/>
                    </w:rPr>
                    <w:t>2</w:t>
                  </w:r>
                </w:p>
              </w:tc>
              <w:tc>
                <w:tcPr>
                  <w:tcW w:w="1466" w:type="pct"/>
                  <w:tcBorders>
                    <w:top w:val="single" w:color="auto" w:sz="6" w:space="0"/>
                    <w:left w:val="single" w:color="auto" w:sz="6" w:space="0"/>
                    <w:bottom w:val="single" w:color="auto" w:sz="6" w:space="0"/>
                    <w:right w:val="single" w:color="auto" w:sz="6" w:space="0"/>
                  </w:tcBorders>
                  <w:vAlign w:val="center"/>
                </w:tcPr>
                <w:p>
                  <w:pPr>
                    <w:pStyle w:val="35"/>
                    <w:bidi w:val="0"/>
                    <w:rPr>
                      <w:rFonts w:hint="default" w:ascii="Times New Roman" w:hAnsi="Times New Roman" w:eastAsia="宋体" w:cs="Times New Roman"/>
                      <w:color w:val="000000" w:themeColor="text1"/>
                      <w:szCs w:val="21"/>
                      <w14:textFill>
                        <w14:solidFill>
                          <w14:schemeClr w14:val="tx1"/>
                        </w14:solidFill>
                      </w14:textFill>
                    </w:rPr>
                  </w:pPr>
                  <w:r>
                    <w:rPr>
                      <w:rFonts w:hint="default"/>
                    </w:rPr>
                    <w:t>年平均值</w:t>
                  </w:r>
                </w:p>
              </w:tc>
              <w:tc>
                <w:tcPr>
                  <w:tcW w:w="800" w:type="pct"/>
                  <w:tcBorders>
                    <w:top w:val="single" w:color="auto" w:sz="6" w:space="0"/>
                    <w:left w:val="single" w:color="auto" w:sz="6" w:space="0"/>
                    <w:bottom w:val="single" w:color="auto" w:sz="6" w:space="0"/>
                    <w:right w:val="single" w:color="auto" w:sz="6" w:space="0"/>
                  </w:tcBorders>
                  <w:vAlign w:val="center"/>
                </w:tcPr>
                <w:p>
                  <w:pPr>
                    <w:pStyle w:val="35"/>
                    <w:bidi w:val="0"/>
                    <w:rPr>
                      <w:rFonts w:hint="default" w:ascii="Times New Roman" w:hAnsi="Times New Roman" w:eastAsia="宋体" w:cs="Times New Roman"/>
                      <w:color w:val="000000" w:themeColor="text1"/>
                      <w:szCs w:val="21"/>
                      <w14:textFill>
                        <w14:solidFill>
                          <w14:schemeClr w14:val="tx1"/>
                        </w14:solidFill>
                      </w14:textFill>
                    </w:rPr>
                  </w:pPr>
                  <w:r>
                    <w:rPr>
                      <w:rFonts w:hint="default"/>
                    </w:rPr>
                    <w:t>60</w:t>
                  </w:r>
                </w:p>
              </w:tc>
              <w:tc>
                <w:tcPr>
                  <w:tcW w:w="800" w:type="pct"/>
                  <w:tcBorders>
                    <w:top w:val="single" w:color="auto" w:sz="6" w:space="0"/>
                    <w:left w:val="single" w:color="auto" w:sz="6" w:space="0"/>
                    <w:bottom w:val="single" w:color="auto" w:sz="6" w:space="0"/>
                    <w:right w:val="single" w:color="auto" w:sz="6" w:space="0"/>
                  </w:tcBorders>
                  <w:vAlign w:val="center"/>
                </w:tcPr>
                <w:p>
                  <w:pPr>
                    <w:pStyle w:val="35"/>
                    <w:bidi w:val="0"/>
                    <w:rPr>
                      <w:rFonts w:hint="default" w:ascii="Times New Roman" w:hAnsi="Times New Roman" w:eastAsia="宋体" w:cs="Times New Roman"/>
                      <w:color w:val="000000" w:themeColor="text1"/>
                      <w:szCs w:val="21"/>
                      <w14:textFill>
                        <w14:solidFill>
                          <w14:schemeClr w14:val="tx1"/>
                        </w14:solidFill>
                      </w14:textFill>
                    </w:rPr>
                  </w:pPr>
                  <w:r>
                    <w:rPr>
                      <w:rFonts w:hint="default"/>
                    </w:rPr>
                    <w:t>7</w:t>
                  </w:r>
                </w:p>
              </w:tc>
              <w:tc>
                <w:tcPr>
                  <w:tcW w:w="107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11.67</w:t>
                  </w:r>
                </w:p>
              </w:tc>
              <w:tc>
                <w:tcPr>
                  <w:tcW w:w="521" w:type="pct"/>
                  <w:tcBorders>
                    <w:top w:val="single" w:color="auto" w:sz="6" w:space="0"/>
                    <w:left w:val="single" w:color="auto" w:sz="6" w:space="0"/>
                    <w:bottom w:val="single" w:color="auto" w:sz="6" w:space="0"/>
                    <w:right w:val="nil"/>
                  </w:tcBorders>
                  <w:vAlign w:val="center"/>
                </w:tcPr>
                <w:p>
                  <w:pPr>
                    <w:pStyle w:val="35"/>
                    <w:bidi w:val="0"/>
                    <w:rPr>
                      <w:rFonts w:hint="default" w:ascii="Times New Roman" w:hAnsi="Times New Roman" w:eastAsia="宋体" w:cs="Times New Roman"/>
                      <w:color w:val="000000" w:themeColor="text1"/>
                      <w:szCs w:val="21"/>
                      <w14:textFill>
                        <w14:solidFill>
                          <w14:schemeClr w14:val="tx1"/>
                        </w14:solidFill>
                      </w14:textFill>
                    </w:rPr>
                  </w:pPr>
                  <w:r>
                    <w:rPr>
                      <w:rFonts w:hint="default"/>
                    </w:rPr>
                    <w:t>达标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0" w:hRule="atLeast"/>
                <w:jc w:val="center"/>
              </w:trPr>
              <w:tc>
                <w:tcPr>
                  <w:tcW w:w="694" w:type="pct"/>
                  <w:tcBorders>
                    <w:top w:val="single" w:color="auto" w:sz="6" w:space="0"/>
                    <w:left w:val="nil"/>
                    <w:bottom w:val="single" w:color="auto" w:sz="6" w:space="0"/>
                    <w:right w:val="single" w:color="auto" w:sz="6" w:space="0"/>
                  </w:tcBorders>
                  <w:vAlign w:val="center"/>
                </w:tcPr>
                <w:p>
                  <w:pPr>
                    <w:pStyle w:val="35"/>
                    <w:bidi w:val="0"/>
                    <w:rPr>
                      <w:rFonts w:hint="default" w:ascii="Times New Roman" w:hAnsi="Times New Roman" w:eastAsia="宋体" w:cs="Times New Roman"/>
                      <w:color w:val="000000" w:themeColor="text1"/>
                      <w:szCs w:val="21"/>
                      <w14:textFill>
                        <w14:solidFill>
                          <w14:schemeClr w14:val="tx1"/>
                        </w14:solidFill>
                      </w14:textFill>
                    </w:rPr>
                  </w:pPr>
                  <w:r>
                    <w:rPr>
                      <w:rFonts w:hint="default"/>
                    </w:rPr>
                    <w:t>NO</w:t>
                  </w:r>
                  <w:r>
                    <w:rPr>
                      <w:rFonts w:hint="default"/>
                      <w:vertAlign w:val="subscript"/>
                    </w:rPr>
                    <w:t>2</w:t>
                  </w:r>
                </w:p>
              </w:tc>
              <w:tc>
                <w:tcPr>
                  <w:tcW w:w="1466" w:type="pct"/>
                  <w:tcBorders>
                    <w:top w:val="single" w:color="auto" w:sz="6" w:space="0"/>
                    <w:left w:val="single" w:color="auto" w:sz="6" w:space="0"/>
                    <w:bottom w:val="single" w:color="auto" w:sz="6" w:space="0"/>
                    <w:right w:val="single" w:color="auto" w:sz="6" w:space="0"/>
                  </w:tcBorders>
                  <w:vAlign w:val="center"/>
                </w:tcPr>
                <w:p>
                  <w:pPr>
                    <w:pStyle w:val="35"/>
                    <w:bidi w:val="0"/>
                    <w:rPr>
                      <w:rFonts w:hint="default" w:ascii="Times New Roman" w:hAnsi="Times New Roman" w:eastAsia="宋体" w:cs="Times New Roman"/>
                      <w:color w:val="000000" w:themeColor="text1"/>
                      <w:szCs w:val="21"/>
                      <w14:textFill>
                        <w14:solidFill>
                          <w14:schemeClr w14:val="tx1"/>
                        </w14:solidFill>
                      </w14:textFill>
                    </w:rPr>
                  </w:pPr>
                  <w:r>
                    <w:rPr>
                      <w:rFonts w:hint="default"/>
                    </w:rPr>
                    <w:t>年平均值</w:t>
                  </w:r>
                </w:p>
              </w:tc>
              <w:tc>
                <w:tcPr>
                  <w:tcW w:w="800" w:type="pct"/>
                  <w:tcBorders>
                    <w:top w:val="single" w:color="auto" w:sz="6" w:space="0"/>
                    <w:left w:val="single" w:color="auto" w:sz="6" w:space="0"/>
                    <w:bottom w:val="single" w:color="auto" w:sz="6" w:space="0"/>
                    <w:right w:val="single" w:color="auto" w:sz="6" w:space="0"/>
                  </w:tcBorders>
                  <w:vAlign w:val="center"/>
                </w:tcPr>
                <w:p>
                  <w:pPr>
                    <w:pStyle w:val="35"/>
                    <w:bidi w:val="0"/>
                    <w:rPr>
                      <w:rFonts w:hint="default" w:ascii="Times New Roman" w:hAnsi="Times New Roman" w:eastAsia="宋体" w:cs="Times New Roman"/>
                      <w:color w:val="000000" w:themeColor="text1"/>
                      <w:szCs w:val="21"/>
                      <w14:textFill>
                        <w14:solidFill>
                          <w14:schemeClr w14:val="tx1"/>
                        </w14:solidFill>
                      </w14:textFill>
                    </w:rPr>
                  </w:pPr>
                  <w:r>
                    <w:rPr>
                      <w:rFonts w:hint="default"/>
                    </w:rPr>
                    <w:t>40</w:t>
                  </w:r>
                </w:p>
              </w:tc>
              <w:tc>
                <w:tcPr>
                  <w:tcW w:w="800" w:type="pct"/>
                  <w:tcBorders>
                    <w:top w:val="single" w:color="auto" w:sz="6" w:space="0"/>
                    <w:left w:val="single" w:color="auto" w:sz="6" w:space="0"/>
                    <w:bottom w:val="single" w:color="auto" w:sz="6" w:space="0"/>
                    <w:right w:val="single" w:color="auto" w:sz="6" w:space="0"/>
                  </w:tcBorders>
                  <w:vAlign w:val="center"/>
                </w:tcPr>
                <w:p>
                  <w:pPr>
                    <w:pStyle w:val="35"/>
                    <w:bidi w:val="0"/>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lang w:val="en-US" w:eastAsia="zh-CN"/>
                    </w:rPr>
                    <w:t>30</w:t>
                  </w:r>
                </w:p>
              </w:tc>
              <w:tc>
                <w:tcPr>
                  <w:tcW w:w="107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i w:val="0"/>
                      <w:iCs w:val="0"/>
                      <w:color w:val="000000"/>
                      <w:kern w:val="0"/>
                      <w:sz w:val="21"/>
                      <w:szCs w:val="21"/>
                      <w:u w:val="none"/>
                      <w:lang w:val="en-US" w:eastAsia="zh-CN" w:bidi="ar"/>
                    </w:rPr>
                    <w:t>75</w:t>
                  </w:r>
                  <w:r>
                    <w:rPr>
                      <w:rFonts w:hint="default" w:ascii="Times New Roman" w:hAnsi="Times New Roman" w:eastAsia="宋体" w:cs="Times New Roman"/>
                      <w:i w:val="0"/>
                      <w:iCs w:val="0"/>
                      <w:color w:val="000000"/>
                      <w:kern w:val="0"/>
                      <w:sz w:val="21"/>
                      <w:szCs w:val="21"/>
                      <w:u w:val="none"/>
                      <w:lang w:val="en-US" w:eastAsia="zh-CN" w:bidi="ar"/>
                    </w:rPr>
                    <w:t>.00</w:t>
                  </w:r>
                </w:p>
              </w:tc>
              <w:tc>
                <w:tcPr>
                  <w:tcW w:w="521" w:type="pct"/>
                  <w:tcBorders>
                    <w:top w:val="single" w:color="auto" w:sz="6" w:space="0"/>
                    <w:left w:val="single" w:color="auto" w:sz="6" w:space="0"/>
                    <w:bottom w:val="single" w:color="auto" w:sz="6" w:space="0"/>
                    <w:right w:val="nil"/>
                  </w:tcBorders>
                  <w:vAlign w:val="center"/>
                </w:tcPr>
                <w:p>
                  <w:pPr>
                    <w:pStyle w:val="35"/>
                    <w:bidi w:val="0"/>
                    <w:rPr>
                      <w:rFonts w:hint="default" w:ascii="Times New Roman" w:hAnsi="Times New Roman" w:eastAsia="宋体" w:cs="Times New Roman"/>
                      <w:color w:val="000000" w:themeColor="text1"/>
                      <w:szCs w:val="21"/>
                      <w14:textFill>
                        <w14:solidFill>
                          <w14:schemeClr w14:val="tx1"/>
                        </w14:solidFill>
                      </w14:textFill>
                    </w:rPr>
                  </w:pPr>
                  <w:r>
                    <w:rPr>
                      <w:rFonts w:hint="default"/>
                    </w:rPr>
                    <w:t>达标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0" w:hRule="atLeast"/>
                <w:jc w:val="center"/>
              </w:trPr>
              <w:tc>
                <w:tcPr>
                  <w:tcW w:w="694" w:type="pct"/>
                  <w:tcBorders>
                    <w:top w:val="single" w:color="auto" w:sz="6" w:space="0"/>
                    <w:left w:val="nil"/>
                    <w:bottom w:val="single" w:color="auto" w:sz="6" w:space="0"/>
                    <w:right w:val="single" w:color="auto" w:sz="6" w:space="0"/>
                  </w:tcBorders>
                  <w:vAlign w:val="center"/>
                </w:tcPr>
                <w:p>
                  <w:pPr>
                    <w:pStyle w:val="35"/>
                    <w:bidi w:val="0"/>
                    <w:rPr>
                      <w:rFonts w:hint="default" w:ascii="Times New Roman" w:hAnsi="Times New Roman" w:eastAsia="宋体" w:cs="Times New Roman"/>
                      <w:color w:val="000000" w:themeColor="text1"/>
                      <w:szCs w:val="21"/>
                      <w14:textFill>
                        <w14:solidFill>
                          <w14:schemeClr w14:val="tx1"/>
                        </w14:solidFill>
                      </w14:textFill>
                    </w:rPr>
                  </w:pPr>
                  <w:r>
                    <w:rPr>
                      <w:rFonts w:hint="default"/>
                    </w:rPr>
                    <w:t>PM</w:t>
                  </w:r>
                  <w:r>
                    <w:rPr>
                      <w:rFonts w:hint="default"/>
                      <w:vertAlign w:val="subscript"/>
                    </w:rPr>
                    <w:t>10</w:t>
                  </w:r>
                </w:p>
              </w:tc>
              <w:tc>
                <w:tcPr>
                  <w:tcW w:w="1466" w:type="pct"/>
                  <w:tcBorders>
                    <w:top w:val="single" w:color="auto" w:sz="6" w:space="0"/>
                    <w:left w:val="single" w:color="auto" w:sz="6" w:space="0"/>
                    <w:bottom w:val="single" w:color="auto" w:sz="6" w:space="0"/>
                    <w:right w:val="single" w:color="auto" w:sz="6" w:space="0"/>
                  </w:tcBorders>
                  <w:vAlign w:val="center"/>
                </w:tcPr>
                <w:p>
                  <w:pPr>
                    <w:pStyle w:val="35"/>
                    <w:bidi w:val="0"/>
                    <w:rPr>
                      <w:rFonts w:hint="default" w:ascii="Times New Roman" w:hAnsi="Times New Roman" w:eastAsia="宋体" w:cs="Times New Roman"/>
                      <w:color w:val="000000" w:themeColor="text1"/>
                      <w:szCs w:val="21"/>
                      <w14:textFill>
                        <w14:solidFill>
                          <w14:schemeClr w14:val="tx1"/>
                        </w14:solidFill>
                      </w14:textFill>
                    </w:rPr>
                  </w:pPr>
                  <w:r>
                    <w:rPr>
                      <w:rFonts w:hint="default"/>
                    </w:rPr>
                    <w:t>年平均值</w:t>
                  </w:r>
                </w:p>
              </w:tc>
              <w:tc>
                <w:tcPr>
                  <w:tcW w:w="800" w:type="pct"/>
                  <w:tcBorders>
                    <w:top w:val="single" w:color="auto" w:sz="6" w:space="0"/>
                    <w:left w:val="single" w:color="auto" w:sz="6" w:space="0"/>
                    <w:bottom w:val="single" w:color="auto" w:sz="6" w:space="0"/>
                    <w:right w:val="single" w:color="auto" w:sz="6" w:space="0"/>
                  </w:tcBorders>
                  <w:vAlign w:val="center"/>
                </w:tcPr>
                <w:p>
                  <w:pPr>
                    <w:pStyle w:val="35"/>
                    <w:bidi w:val="0"/>
                    <w:rPr>
                      <w:rFonts w:hint="default" w:ascii="Times New Roman" w:hAnsi="Times New Roman" w:eastAsia="宋体" w:cs="Times New Roman"/>
                      <w:color w:val="000000" w:themeColor="text1"/>
                      <w:szCs w:val="21"/>
                      <w14:textFill>
                        <w14:solidFill>
                          <w14:schemeClr w14:val="tx1"/>
                        </w14:solidFill>
                      </w14:textFill>
                    </w:rPr>
                  </w:pPr>
                  <w:r>
                    <w:rPr>
                      <w:rFonts w:hint="default"/>
                    </w:rPr>
                    <w:t>70</w:t>
                  </w:r>
                </w:p>
              </w:tc>
              <w:tc>
                <w:tcPr>
                  <w:tcW w:w="800" w:type="pct"/>
                  <w:tcBorders>
                    <w:top w:val="single" w:color="auto" w:sz="6" w:space="0"/>
                    <w:left w:val="single" w:color="auto" w:sz="6" w:space="0"/>
                    <w:bottom w:val="single" w:color="auto" w:sz="6" w:space="0"/>
                    <w:right w:val="single" w:color="auto" w:sz="6" w:space="0"/>
                  </w:tcBorders>
                  <w:vAlign w:val="center"/>
                </w:tcPr>
                <w:p>
                  <w:pPr>
                    <w:pStyle w:val="35"/>
                    <w:bidi w:val="0"/>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lang w:val="en-US" w:eastAsia="zh-CN"/>
                    </w:rPr>
                    <w:t>70</w:t>
                  </w:r>
                </w:p>
              </w:tc>
              <w:tc>
                <w:tcPr>
                  <w:tcW w:w="107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521" w:type="pct"/>
                  <w:tcBorders>
                    <w:top w:val="single" w:color="auto" w:sz="6" w:space="0"/>
                    <w:left w:val="single" w:color="auto" w:sz="6" w:space="0"/>
                    <w:bottom w:val="single" w:color="auto" w:sz="6" w:space="0"/>
                    <w:right w:val="nil"/>
                  </w:tcBorders>
                  <w:vAlign w:val="center"/>
                </w:tcPr>
                <w:p>
                  <w:pPr>
                    <w:pStyle w:val="35"/>
                    <w:bidi w:val="0"/>
                    <w:rPr>
                      <w:rFonts w:hint="default" w:ascii="Times New Roman" w:hAnsi="Times New Roman" w:eastAsia="宋体" w:cs="Times New Roman"/>
                      <w:color w:val="000000" w:themeColor="text1"/>
                      <w:szCs w:val="21"/>
                      <w14:textFill>
                        <w14:solidFill>
                          <w14:schemeClr w14:val="tx1"/>
                        </w14:solidFill>
                      </w14:textFill>
                    </w:rPr>
                  </w:pPr>
                  <w:r>
                    <w:rPr>
                      <w:rFonts w:hint="default"/>
                    </w:rPr>
                    <w:t>达标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0" w:hRule="atLeast"/>
                <w:jc w:val="center"/>
              </w:trPr>
              <w:tc>
                <w:tcPr>
                  <w:tcW w:w="694" w:type="pct"/>
                  <w:tcBorders>
                    <w:top w:val="single" w:color="auto" w:sz="6" w:space="0"/>
                    <w:left w:val="nil"/>
                    <w:bottom w:val="single" w:color="auto" w:sz="6" w:space="0"/>
                    <w:right w:val="single" w:color="auto" w:sz="6" w:space="0"/>
                  </w:tcBorders>
                  <w:vAlign w:val="center"/>
                </w:tcPr>
                <w:p>
                  <w:pPr>
                    <w:pStyle w:val="35"/>
                    <w:bidi w:val="0"/>
                    <w:rPr>
                      <w:rFonts w:hint="default" w:ascii="Times New Roman" w:hAnsi="Times New Roman" w:eastAsia="宋体" w:cs="Times New Roman"/>
                      <w:color w:val="000000" w:themeColor="text1"/>
                      <w:szCs w:val="21"/>
                      <w14:textFill>
                        <w14:solidFill>
                          <w14:schemeClr w14:val="tx1"/>
                        </w14:solidFill>
                      </w14:textFill>
                    </w:rPr>
                  </w:pPr>
                  <w:r>
                    <w:rPr>
                      <w:rFonts w:hint="default"/>
                    </w:rPr>
                    <w:t>PM</w:t>
                  </w:r>
                  <w:r>
                    <w:rPr>
                      <w:rFonts w:hint="default"/>
                      <w:vertAlign w:val="subscript"/>
                    </w:rPr>
                    <w:t>2.5</w:t>
                  </w:r>
                </w:p>
              </w:tc>
              <w:tc>
                <w:tcPr>
                  <w:tcW w:w="1466" w:type="pct"/>
                  <w:tcBorders>
                    <w:top w:val="single" w:color="auto" w:sz="6" w:space="0"/>
                    <w:left w:val="single" w:color="auto" w:sz="6" w:space="0"/>
                    <w:bottom w:val="single" w:color="auto" w:sz="6" w:space="0"/>
                    <w:right w:val="single" w:color="auto" w:sz="6" w:space="0"/>
                  </w:tcBorders>
                  <w:vAlign w:val="center"/>
                </w:tcPr>
                <w:p>
                  <w:pPr>
                    <w:pStyle w:val="35"/>
                    <w:bidi w:val="0"/>
                    <w:rPr>
                      <w:rFonts w:hint="default" w:ascii="Times New Roman" w:hAnsi="Times New Roman" w:eastAsia="宋体" w:cs="Times New Roman"/>
                      <w:color w:val="000000" w:themeColor="text1"/>
                      <w:szCs w:val="21"/>
                      <w14:textFill>
                        <w14:solidFill>
                          <w14:schemeClr w14:val="tx1"/>
                        </w14:solidFill>
                      </w14:textFill>
                    </w:rPr>
                  </w:pPr>
                  <w:r>
                    <w:rPr>
                      <w:rFonts w:hint="default"/>
                    </w:rPr>
                    <w:t>年平均值</w:t>
                  </w:r>
                </w:p>
              </w:tc>
              <w:tc>
                <w:tcPr>
                  <w:tcW w:w="800" w:type="pct"/>
                  <w:tcBorders>
                    <w:top w:val="single" w:color="auto" w:sz="6" w:space="0"/>
                    <w:left w:val="single" w:color="auto" w:sz="6" w:space="0"/>
                    <w:bottom w:val="single" w:color="auto" w:sz="6" w:space="0"/>
                    <w:right w:val="single" w:color="auto" w:sz="6" w:space="0"/>
                  </w:tcBorders>
                  <w:vAlign w:val="center"/>
                </w:tcPr>
                <w:p>
                  <w:pPr>
                    <w:pStyle w:val="35"/>
                    <w:bidi w:val="0"/>
                    <w:rPr>
                      <w:rFonts w:hint="default" w:ascii="Times New Roman" w:hAnsi="Times New Roman" w:eastAsia="宋体" w:cs="Times New Roman"/>
                      <w:color w:val="000000" w:themeColor="text1"/>
                      <w:szCs w:val="21"/>
                      <w14:textFill>
                        <w14:solidFill>
                          <w14:schemeClr w14:val="tx1"/>
                        </w14:solidFill>
                      </w14:textFill>
                    </w:rPr>
                  </w:pPr>
                  <w:r>
                    <w:rPr>
                      <w:rFonts w:hint="default"/>
                    </w:rPr>
                    <w:t>35</w:t>
                  </w:r>
                </w:p>
              </w:tc>
              <w:tc>
                <w:tcPr>
                  <w:tcW w:w="800" w:type="pct"/>
                  <w:tcBorders>
                    <w:top w:val="single" w:color="auto" w:sz="6" w:space="0"/>
                    <w:left w:val="single" w:color="auto" w:sz="6" w:space="0"/>
                    <w:bottom w:val="single" w:color="auto" w:sz="6" w:space="0"/>
                    <w:right w:val="single" w:color="auto" w:sz="6" w:space="0"/>
                  </w:tcBorders>
                  <w:vAlign w:val="center"/>
                </w:tcPr>
                <w:p>
                  <w:pPr>
                    <w:pStyle w:val="35"/>
                    <w:bidi w:val="0"/>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lang w:val="en-US" w:eastAsia="zh-CN"/>
                    </w:rPr>
                    <w:t>40</w:t>
                  </w:r>
                </w:p>
              </w:tc>
              <w:tc>
                <w:tcPr>
                  <w:tcW w:w="107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114.29</w:t>
                  </w:r>
                </w:p>
              </w:tc>
              <w:tc>
                <w:tcPr>
                  <w:tcW w:w="521" w:type="pct"/>
                  <w:tcBorders>
                    <w:top w:val="single" w:color="auto" w:sz="6" w:space="0"/>
                    <w:left w:val="single" w:color="auto" w:sz="6" w:space="0"/>
                    <w:bottom w:val="single" w:color="auto" w:sz="6" w:space="0"/>
                    <w:right w:val="nil"/>
                  </w:tcBorders>
                  <w:vAlign w:val="center"/>
                </w:tcPr>
                <w:p>
                  <w:pPr>
                    <w:pStyle w:val="35"/>
                    <w:bidi w:val="0"/>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lang w:val="en-US" w:eastAsia="zh-CN"/>
                    </w:rPr>
                    <w:t>超标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0" w:hRule="atLeast"/>
                <w:jc w:val="center"/>
              </w:trPr>
              <w:tc>
                <w:tcPr>
                  <w:tcW w:w="694" w:type="pct"/>
                  <w:tcBorders>
                    <w:top w:val="single" w:color="auto" w:sz="6" w:space="0"/>
                    <w:left w:val="nil"/>
                    <w:bottom w:val="single" w:color="auto" w:sz="6" w:space="0"/>
                    <w:right w:val="single" w:color="auto" w:sz="6" w:space="0"/>
                  </w:tcBorders>
                  <w:vAlign w:val="center"/>
                </w:tcPr>
                <w:p>
                  <w:pPr>
                    <w:pStyle w:val="35"/>
                    <w:bidi w:val="0"/>
                    <w:rPr>
                      <w:rFonts w:hint="default" w:ascii="Times New Roman" w:hAnsi="Times New Roman" w:eastAsia="宋体" w:cs="Times New Roman"/>
                      <w:color w:val="000000" w:themeColor="text1"/>
                      <w:szCs w:val="21"/>
                      <w14:textFill>
                        <w14:solidFill>
                          <w14:schemeClr w14:val="tx1"/>
                        </w14:solidFill>
                      </w14:textFill>
                    </w:rPr>
                  </w:pPr>
                  <w:r>
                    <w:rPr>
                      <w:rFonts w:hint="default"/>
                    </w:rPr>
                    <w:t>CO</w:t>
                  </w:r>
                </w:p>
              </w:tc>
              <w:tc>
                <w:tcPr>
                  <w:tcW w:w="1466" w:type="pct"/>
                  <w:tcBorders>
                    <w:top w:val="single" w:color="auto" w:sz="6" w:space="0"/>
                    <w:left w:val="single" w:color="auto" w:sz="6" w:space="0"/>
                    <w:bottom w:val="single" w:color="auto" w:sz="6" w:space="0"/>
                    <w:right w:val="single" w:color="auto" w:sz="6" w:space="0"/>
                  </w:tcBorders>
                  <w:vAlign w:val="center"/>
                </w:tcPr>
                <w:p>
                  <w:pPr>
                    <w:pStyle w:val="35"/>
                    <w:bidi w:val="0"/>
                    <w:rPr>
                      <w:rFonts w:hint="default" w:ascii="Times New Roman" w:hAnsi="Times New Roman" w:eastAsia="宋体" w:cs="Times New Roman"/>
                      <w:color w:val="000000" w:themeColor="text1"/>
                      <w:szCs w:val="21"/>
                      <w14:textFill>
                        <w14:solidFill>
                          <w14:schemeClr w14:val="tx1"/>
                        </w14:solidFill>
                      </w14:textFill>
                    </w:rPr>
                  </w:pPr>
                  <w:r>
                    <w:rPr>
                      <w:rFonts w:hint="default"/>
                    </w:rPr>
                    <w:t>24小时平均第95百分位数</w:t>
                  </w:r>
                </w:p>
              </w:tc>
              <w:tc>
                <w:tcPr>
                  <w:tcW w:w="800" w:type="pct"/>
                  <w:tcBorders>
                    <w:top w:val="single" w:color="auto" w:sz="6" w:space="0"/>
                    <w:left w:val="single" w:color="auto" w:sz="6" w:space="0"/>
                    <w:bottom w:val="single" w:color="auto" w:sz="6" w:space="0"/>
                    <w:right w:val="single" w:color="auto" w:sz="6" w:space="0"/>
                  </w:tcBorders>
                  <w:vAlign w:val="center"/>
                </w:tcPr>
                <w:p>
                  <w:pPr>
                    <w:pStyle w:val="35"/>
                    <w:bidi w:val="0"/>
                    <w:rPr>
                      <w:rFonts w:hint="default" w:ascii="Times New Roman" w:hAnsi="Times New Roman" w:eastAsia="宋体" w:cs="Times New Roman"/>
                      <w:color w:val="000000" w:themeColor="text1"/>
                      <w:szCs w:val="21"/>
                      <w14:textFill>
                        <w14:solidFill>
                          <w14:schemeClr w14:val="tx1"/>
                        </w14:solidFill>
                      </w14:textFill>
                    </w:rPr>
                  </w:pPr>
                  <w:r>
                    <w:rPr>
                      <w:rFonts w:hint="default"/>
                    </w:rPr>
                    <w:t>4</w:t>
                  </w:r>
                  <w:r>
                    <w:rPr>
                      <w:rFonts w:hint="eastAsia"/>
                      <w:lang w:eastAsia="zh-CN"/>
                    </w:rPr>
                    <w:t>(</w:t>
                  </w:r>
                  <w:r>
                    <w:rPr>
                      <w:rFonts w:hint="default"/>
                    </w:rPr>
                    <w:t>mg/m</w:t>
                  </w:r>
                  <w:r>
                    <w:rPr>
                      <w:rFonts w:hint="default"/>
                      <w:vertAlign w:val="superscript"/>
                    </w:rPr>
                    <w:t>3</w:t>
                  </w:r>
                  <w:r>
                    <w:rPr>
                      <w:rFonts w:hint="eastAsia"/>
                      <w:lang w:eastAsia="zh-CN"/>
                    </w:rPr>
                    <w:t>)</w:t>
                  </w:r>
                </w:p>
              </w:tc>
              <w:tc>
                <w:tcPr>
                  <w:tcW w:w="800" w:type="pct"/>
                  <w:tcBorders>
                    <w:top w:val="single" w:color="auto" w:sz="6" w:space="0"/>
                    <w:left w:val="single" w:color="auto" w:sz="6" w:space="0"/>
                    <w:bottom w:val="single" w:color="auto" w:sz="6" w:space="0"/>
                    <w:right w:val="single" w:color="auto" w:sz="6" w:space="0"/>
                  </w:tcBorders>
                  <w:vAlign w:val="center"/>
                </w:tcPr>
                <w:p>
                  <w:pPr>
                    <w:pStyle w:val="35"/>
                    <w:bidi w:val="0"/>
                    <w:rPr>
                      <w:rFonts w:hint="default" w:ascii="Times New Roman" w:hAnsi="Times New Roman" w:eastAsia="宋体" w:cs="Times New Roman"/>
                      <w:color w:val="000000" w:themeColor="text1"/>
                      <w:szCs w:val="21"/>
                      <w14:textFill>
                        <w14:solidFill>
                          <w14:schemeClr w14:val="tx1"/>
                        </w14:solidFill>
                      </w14:textFill>
                    </w:rPr>
                  </w:pPr>
                  <w:r>
                    <w:rPr>
                      <w:rFonts w:hint="default"/>
                    </w:rPr>
                    <w:t>1</w:t>
                  </w:r>
                  <w:r>
                    <w:rPr>
                      <w:rFonts w:hint="eastAsia"/>
                      <w:lang w:val="en-US" w:eastAsia="zh-CN"/>
                    </w:rPr>
                    <w:t>.8</w:t>
                  </w:r>
                  <w:r>
                    <w:rPr>
                      <w:rFonts w:hint="eastAsia"/>
                      <w:lang w:eastAsia="zh-CN"/>
                    </w:rPr>
                    <w:t>(</w:t>
                  </w:r>
                  <w:r>
                    <w:rPr>
                      <w:rFonts w:hint="default"/>
                    </w:rPr>
                    <w:t>mg/m</w:t>
                  </w:r>
                  <w:r>
                    <w:rPr>
                      <w:rFonts w:hint="default"/>
                      <w:vertAlign w:val="superscript"/>
                    </w:rPr>
                    <w:t>3</w:t>
                  </w:r>
                  <w:r>
                    <w:rPr>
                      <w:rFonts w:hint="eastAsia"/>
                      <w:lang w:eastAsia="zh-CN"/>
                    </w:rPr>
                    <w:t>)</w:t>
                  </w:r>
                </w:p>
              </w:tc>
              <w:tc>
                <w:tcPr>
                  <w:tcW w:w="107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45.00</w:t>
                  </w:r>
                </w:p>
              </w:tc>
              <w:tc>
                <w:tcPr>
                  <w:tcW w:w="521" w:type="pct"/>
                  <w:tcBorders>
                    <w:top w:val="single" w:color="auto" w:sz="6" w:space="0"/>
                    <w:left w:val="single" w:color="auto" w:sz="6" w:space="0"/>
                    <w:bottom w:val="single" w:color="auto" w:sz="6" w:space="0"/>
                    <w:right w:val="nil"/>
                  </w:tcBorders>
                  <w:vAlign w:val="center"/>
                </w:tcPr>
                <w:p>
                  <w:pPr>
                    <w:pStyle w:val="35"/>
                    <w:bidi w:val="0"/>
                    <w:rPr>
                      <w:rFonts w:hint="default" w:ascii="Times New Roman" w:hAnsi="Times New Roman" w:eastAsia="宋体" w:cs="Times New Roman"/>
                      <w:color w:val="000000" w:themeColor="text1"/>
                      <w:szCs w:val="21"/>
                      <w14:textFill>
                        <w14:solidFill>
                          <w14:schemeClr w14:val="tx1"/>
                        </w14:solidFill>
                      </w14:textFill>
                    </w:rPr>
                  </w:pPr>
                  <w:r>
                    <w:rPr>
                      <w:rFonts w:hint="default"/>
                    </w:rPr>
                    <w:t>达标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0" w:hRule="atLeast"/>
                <w:jc w:val="center"/>
              </w:trPr>
              <w:tc>
                <w:tcPr>
                  <w:tcW w:w="694" w:type="pct"/>
                  <w:tcBorders>
                    <w:top w:val="single" w:color="auto" w:sz="6" w:space="0"/>
                    <w:left w:val="nil"/>
                    <w:bottom w:val="single" w:color="auto" w:sz="12" w:space="0"/>
                    <w:right w:val="single" w:color="auto" w:sz="6" w:space="0"/>
                  </w:tcBorders>
                  <w:vAlign w:val="center"/>
                </w:tcPr>
                <w:p>
                  <w:pPr>
                    <w:pStyle w:val="35"/>
                    <w:bidi w:val="0"/>
                    <w:rPr>
                      <w:rFonts w:hint="default" w:ascii="Times New Roman" w:hAnsi="Times New Roman" w:eastAsia="宋体" w:cs="Times New Roman"/>
                      <w:color w:val="000000" w:themeColor="text1"/>
                      <w:szCs w:val="21"/>
                      <w14:textFill>
                        <w14:solidFill>
                          <w14:schemeClr w14:val="tx1"/>
                        </w14:solidFill>
                      </w14:textFill>
                    </w:rPr>
                  </w:pPr>
                  <w:r>
                    <w:rPr>
                      <w:rFonts w:hint="default"/>
                    </w:rPr>
                    <w:t>O</w:t>
                  </w:r>
                  <w:r>
                    <w:rPr>
                      <w:rFonts w:hint="default"/>
                      <w:vertAlign w:val="subscript"/>
                    </w:rPr>
                    <w:t>3</w:t>
                  </w:r>
                </w:p>
              </w:tc>
              <w:tc>
                <w:tcPr>
                  <w:tcW w:w="1466" w:type="pct"/>
                  <w:tcBorders>
                    <w:top w:val="single" w:color="auto" w:sz="6" w:space="0"/>
                    <w:left w:val="single" w:color="auto" w:sz="6" w:space="0"/>
                    <w:bottom w:val="single" w:color="auto" w:sz="12" w:space="0"/>
                    <w:right w:val="single" w:color="auto" w:sz="6" w:space="0"/>
                  </w:tcBorders>
                  <w:vAlign w:val="center"/>
                </w:tcPr>
                <w:p>
                  <w:pPr>
                    <w:pStyle w:val="35"/>
                    <w:bidi w:val="0"/>
                    <w:rPr>
                      <w:rFonts w:hint="default" w:ascii="Times New Roman" w:hAnsi="Times New Roman" w:eastAsia="宋体" w:cs="Times New Roman"/>
                      <w:color w:val="000000" w:themeColor="text1"/>
                      <w:szCs w:val="21"/>
                      <w14:textFill>
                        <w14:solidFill>
                          <w14:schemeClr w14:val="tx1"/>
                        </w14:solidFill>
                      </w14:textFill>
                    </w:rPr>
                  </w:pPr>
                  <w:r>
                    <w:rPr>
                      <w:rFonts w:hint="default"/>
                    </w:rPr>
                    <w:t>最大8小时平均第90百分位数</w:t>
                  </w:r>
                </w:p>
              </w:tc>
              <w:tc>
                <w:tcPr>
                  <w:tcW w:w="800" w:type="pct"/>
                  <w:tcBorders>
                    <w:top w:val="single" w:color="auto" w:sz="6" w:space="0"/>
                    <w:left w:val="single" w:color="auto" w:sz="6" w:space="0"/>
                    <w:bottom w:val="single" w:color="auto" w:sz="12" w:space="0"/>
                    <w:right w:val="single" w:color="auto" w:sz="6" w:space="0"/>
                  </w:tcBorders>
                  <w:vAlign w:val="center"/>
                </w:tcPr>
                <w:p>
                  <w:pPr>
                    <w:pStyle w:val="35"/>
                    <w:bidi w:val="0"/>
                    <w:rPr>
                      <w:rFonts w:hint="default" w:ascii="Times New Roman" w:hAnsi="Times New Roman" w:eastAsia="宋体" w:cs="Times New Roman"/>
                      <w:color w:val="000000" w:themeColor="text1"/>
                      <w:szCs w:val="21"/>
                      <w14:textFill>
                        <w14:solidFill>
                          <w14:schemeClr w14:val="tx1"/>
                        </w14:solidFill>
                      </w14:textFill>
                    </w:rPr>
                  </w:pPr>
                  <w:r>
                    <w:rPr>
                      <w:rFonts w:hint="default"/>
                    </w:rPr>
                    <w:t>160</w:t>
                  </w:r>
                </w:p>
              </w:tc>
              <w:tc>
                <w:tcPr>
                  <w:tcW w:w="800" w:type="pct"/>
                  <w:tcBorders>
                    <w:top w:val="single" w:color="auto" w:sz="6" w:space="0"/>
                    <w:left w:val="single" w:color="auto" w:sz="6" w:space="0"/>
                    <w:bottom w:val="single" w:color="auto" w:sz="12" w:space="0"/>
                    <w:right w:val="single" w:color="auto" w:sz="6" w:space="0"/>
                  </w:tcBorders>
                  <w:vAlign w:val="center"/>
                </w:tcPr>
                <w:p>
                  <w:pPr>
                    <w:pStyle w:val="35"/>
                    <w:bidi w:val="0"/>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rPr>
                    <w:t>1</w:t>
                  </w:r>
                  <w:r>
                    <w:rPr>
                      <w:rFonts w:hint="eastAsia"/>
                      <w:lang w:val="en-US" w:eastAsia="zh-CN"/>
                    </w:rPr>
                    <w:t>34</w:t>
                  </w:r>
                </w:p>
              </w:tc>
              <w:tc>
                <w:tcPr>
                  <w:tcW w:w="1070" w:type="dxa"/>
                  <w:tcBorders>
                    <w:top w:val="single" w:color="auto" w:sz="6" w:space="0"/>
                    <w:left w:val="single" w:color="auto" w:sz="6" w:space="0"/>
                    <w:bottom w:val="single" w:color="auto" w:sz="12" w:space="0"/>
                    <w:right w:val="single" w:color="auto" w:sz="6" w:space="0"/>
                  </w:tcBorders>
                  <w:vAlign w:val="center"/>
                </w:tcPr>
                <w:p>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83.75</w:t>
                  </w:r>
                </w:p>
              </w:tc>
              <w:tc>
                <w:tcPr>
                  <w:tcW w:w="521" w:type="pct"/>
                  <w:tcBorders>
                    <w:top w:val="single" w:color="auto" w:sz="6" w:space="0"/>
                    <w:left w:val="single" w:color="auto" w:sz="6" w:space="0"/>
                    <w:bottom w:val="single" w:color="auto" w:sz="12" w:space="0"/>
                    <w:right w:val="nil"/>
                  </w:tcBorders>
                  <w:vAlign w:val="center"/>
                </w:tcPr>
                <w:p>
                  <w:pPr>
                    <w:pStyle w:val="35"/>
                    <w:bidi w:val="0"/>
                    <w:rPr>
                      <w:rFonts w:hint="default" w:ascii="Times New Roman" w:hAnsi="Times New Roman" w:eastAsia="宋体" w:cs="Times New Roman"/>
                      <w:color w:val="000000" w:themeColor="text1"/>
                      <w:szCs w:val="21"/>
                      <w14:textFill>
                        <w14:solidFill>
                          <w14:schemeClr w14:val="tx1"/>
                        </w14:solidFill>
                      </w14:textFill>
                    </w:rPr>
                  </w:pPr>
                  <w:r>
                    <w:rPr>
                      <w:rFonts w:hint="default"/>
                    </w:rPr>
                    <w:t>达标</w:t>
                  </w:r>
                </w:p>
              </w:tc>
            </w:tr>
            <w:bookmarkEnd w:id="71"/>
          </w:tbl>
          <w:p>
            <w:pPr>
              <w:pStyle w:val="10"/>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（2）水环境质量现状调查</w:t>
            </w:r>
          </w:p>
          <w:p>
            <w:pPr>
              <w:pStyle w:val="10"/>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本项目</w:t>
            </w:r>
            <w:r>
              <w:rPr>
                <w:rFonts w:hint="default" w:ascii="Times New Roman" w:hAnsi="Times New Roman" w:cs="Times New Roman"/>
                <w:b w:val="0"/>
                <w:bCs w:val="0"/>
                <w:color w:val="000000" w:themeColor="text1"/>
                <w14:textFill>
                  <w14:solidFill>
                    <w14:schemeClr w14:val="tx1"/>
                  </w14:solidFill>
                </w14:textFill>
              </w:rPr>
              <w:t>周边无地表水分布，生活污水和试油期产生的废水均不外排，项目与地表水体无任何水力联系，根据《环境影响评价技术导则 地表水环境》（HJ2.3-2018），本项目地表水评价等级为三级B，因此，本项目不进行地表水环境质量现状评价。</w:t>
            </w:r>
          </w:p>
          <w:p>
            <w:pPr>
              <w:pStyle w:val="10"/>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钻井期间采用钻井液不落地工艺，钻井液循环利用，不会对地下水环境造成污染；参照《环境影响评价技术导则 地下水环境》（HJ 610-2016），本项目为Ⅳ类项目；无需对地下水环境质量现状进行评价。</w:t>
            </w:r>
          </w:p>
          <w:p>
            <w:pPr>
              <w:pStyle w:val="10"/>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（3）声环境质量现状调查</w:t>
            </w:r>
          </w:p>
          <w:p>
            <w:pPr>
              <w:pStyle w:val="10"/>
              <w:keepNext w:val="0"/>
              <w:keepLines w:val="0"/>
              <w:pageBreakBefore w:val="0"/>
              <w:widowControl/>
              <w:kinsoku/>
              <w:wordWrap/>
              <w:overflowPunct/>
              <w:topLinePunct w:val="0"/>
              <w:autoSpaceDE/>
              <w:autoSpaceDN/>
              <w:bidi w:val="0"/>
              <w:adjustRightInd/>
              <w:snapToGrid w:val="0"/>
              <w:ind w:firstLine="480"/>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本项目</w:t>
            </w:r>
            <w:r>
              <w:rPr>
                <w:rFonts w:hint="default" w:ascii="Times New Roman" w:hAnsi="Times New Roman" w:cs="Times New Roman"/>
                <w:b w:val="0"/>
                <w:bCs w:val="0"/>
                <w:color w:val="000000" w:themeColor="text1"/>
                <w14:textFill>
                  <w14:solidFill>
                    <w14:schemeClr w14:val="tx1"/>
                  </w14:solidFill>
                </w14:textFill>
              </w:rPr>
              <w:t>周边50m范围内无声环境保护目标，参照《建设项目环境影响报告表编制技术指南（污染影响类）</w:t>
            </w:r>
            <w:r>
              <w:rPr>
                <w:rFonts w:hint="eastAsia" w:cs="Times New Roman"/>
                <w:b w:val="0"/>
                <w:bCs w:val="0"/>
                <w:color w:val="000000" w:themeColor="text1"/>
                <w:lang w:eastAsia="zh-CN"/>
                <w14:textFill>
                  <w14:solidFill>
                    <w14:schemeClr w14:val="tx1"/>
                  </w14:solidFill>
                </w14:textFill>
              </w:rPr>
              <w:t>（试行）》</w:t>
            </w:r>
            <w:r>
              <w:rPr>
                <w:rFonts w:hint="default" w:ascii="Times New Roman" w:hAnsi="Times New Roman" w:cs="Times New Roman"/>
                <w:b w:val="0"/>
                <w:bCs w:val="0"/>
                <w:color w:val="000000" w:themeColor="text1"/>
                <w14:textFill>
                  <w14:solidFill>
                    <w14:schemeClr w14:val="tx1"/>
                  </w14:solidFill>
                </w14:textFill>
              </w:rPr>
              <w:t>相关要求，无需对声环境质量现状进行评价。</w:t>
            </w:r>
          </w:p>
          <w:p>
            <w:pPr>
              <w:pStyle w:val="10"/>
              <w:ind w:firstLine="48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（4）土壤环境质量现状调查</w:t>
            </w:r>
          </w:p>
          <w:p>
            <w:pPr>
              <w:widowControl w:val="0"/>
              <w:spacing w:line="500" w:lineRule="exact"/>
              <w:ind w:firstLine="480" w:firstLineChars="200"/>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t>本项目所在区域土壤类型为风沙土，项目土壤类型见</w:t>
            </w:r>
            <w:r>
              <w:rPr>
                <w:rFonts w:hint="eastAsia" w:ascii="Times New Roman" w:hAnsi="Times New Roman" w:eastAsia="宋体" w:cs="Times New Roman"/>
                <w:b/>
                <w:bCs/>
                <w:color w:val="000000" w:themeColor="text1"/>
                <w:kern w:val="0"/>
                <w:sz w:val="24"/>
                <w:szCs w:val="24"/>
                <w:lang w:val="en-US" w:eastAsia="zh-CN" w:bidi="ar-SA"/>
                <w14:textFill>
                  <w14:solidFill>
                    <w14:schemeClr w14:val="tx1"/>
                  </w14:solidFill>
                </w14:textFill>
              </w:rPr>
              <w:t>附图13，</w:t>
            </w:r>
            <w:r>
              <w:rPr>
                <w:rFonts w:hint="default" w:ascii="Times New Roman" w:hAnsi="Times New Roman" w:eastAsia="宋体" w:cs="Times New Roman"/>
                <w:color w:val="000000" w:themeColor="text1"/>
                <w:kern w:val="0"/>
                <w:sz w:val="24"/>
                <w:szCs w:val="24"/>
                <w:lang w:val="en-US" w:eastAsia="zh-CN" w:bidi="ar-SA"/>
                <w14:textFill>
                  <w14:solidFill>
                    <w14:schemeClr w14:val="tx1"/>
                  </w14:solidFill>
                </w14:textFill>
              </w:rPr>
              <w:t>参照《环境影响评价技术导则 土壤环境（试行）》（HJ964-2018），本项目为Ⅳ类项目，无需对土壤环境质量现状进行评价</w:t>
            </w:r>
            <w:r>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vAlign w:val="center"/>
          </w:tcPr>
          <w:p>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与项目有关的原有环境污染和生态破坏问题</w:t>
            </w:r>
          </w:p>
        </w:tc>
        <w:tc>
          <w:tcPr>
            <w:tcW w:w="7646" w:type="dxa"/>
            <w:vAlign w:val="center"/>
          </w:tcPr>
          <w:p>
            <w:pPr>
              <w:pStyle w:val="10"/>
              <w:ind w:firstLine="480"/>
              <w:rPr>
                <w:rFonts w:hint="eastAsia" w:ascii="Times New Roman" w:hAnsi="Times New Roman" w:cs="Times New Roman"/>
                <w:b w:val="0"/>
                <w:bCs w:val="0"/>
                <w:color w:val="auto"/>
                <w:spacing w:val="-6"/>
                <w:sz w:val="24"/>
                <w:highlight w:val="none"/>
                <w:lang w:val="en-US" w:eastAsia="zh-CN"/>
              </w:rPr>
            </w:pPr>
            <w:r>
              <w:rPr>
                <w:rFonts w:hint="default" w:ascii="Times New Roman" w:hAnsi="Times New Roman" w:cs="Times New Roman"/>
                <w:b w:val="0"/>
                <w:bCs w:val="0"/>
                <w:color w:val="auto"/>
                <w:spacing w:val="-6"/>
                <w:sz w:val="24"/>
                <w:highlight w:val="none"/>
              </w:rPr>
              <w:t>本项目</w:t>
            </w:r>
            <w:r>
              <w:rPr>
                <w:rFonts w:hint="eastAsia" w:ascii="Times New Roman" w:hAnsi="Times New Roman" w:cs="Times New Roman"/>
                <w:b w:val="0"/>
                <w:bCs w:val="0"/>
                <w:color w:val="auto"/>
                <w:spacing w:val="-6"/>
                <w:sz w:val="24"/>
                <w:highlight w:val="none"/>
                <w:lang w:val="en-US" w:eastAsia="zh-CN"/>
              </w:rPr>
              <w:t>利用原中国石油新疆油田分公司勘探公司（现为“中国石油新疆油田分公司勘探事业部”）于2015年实施的莫24井井场、道路和生活营地进行建设。原莫24井环境影响评价文件在2015年取得原呼图壁县环境保护局（现为“昌吉回族自治州生态环境局呼图壁县分局”）批复（呼环评字〔2015〕12号）；2017年，原呼图壁县环境保护局出具了项目竣工环境保护验收合格的函（呼环函</w:t>
            </w:r>
            <w:r>
              <w:rPr>
                <w:rFonts w:hint="eastAsia" w:cs="Times New Roman"/>
                <w:b w:val="0"/>
                <w:bCs w:val="0"/>
                <w:color w:val="auto"/>
                <w:spacing w:val="-6"/>
                <w:sz w:val="24"/>
                <w:highlight w:val="none"/>
                <w:lang w:val="en-US" w:eastAsia="zh-CN"/>
              </w:rPr>
              <w:t>〔2017〕5号</w:t>
            </w:r>
            <w:r>
              <w:rPr>
                <w:rFonts w:hint="eastAsia" w:ascii="Times New Roman" w:hAnsi="Times New Roman" w:cs="Times New Roman"/>
                <w:b w:val="0"/>
                <w:bCs w:val="0"/>
                <w:color w:val="auto"/>
                <w:spacing w:val="-6"/>
                <w:sz w:val="24"/>
                <w:highlight w:val="none"/>
                <w:lang w:val="en-US" w:eastAsia="zh-CN"/>
              </w:rPr>
              <w:t>）。</w:t>
            </w:r>
          </w:p>
          <w:p>
            <w:pPr>
              <w:pStyle w:val="10"/>
              <w:ind w:firstLine="480"/>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b w:val="0"/>
                <w:bCs w:val="0"/>
                <w:color w:val="auto"/>
                <w:spacing w:val="-6"/>
                <w:sz w:val="24"/>
                <w:highlight w:val="none"/>
                <w:lang w:val="en-US" w:eastAsia="zh-CN"/>
              </w:rPr>
              <w:t>由于原莫24井不具备开发条件，钻试工程完成后已封井。本项目利用原莫24井场地开展钻井、试油及生活营地和道路的建设。由于场地已平整，可减少钻前工程量和对环境的影响。原</w:t>
            </w:r>
            <w:bookmarkStart w:id="72" w:name="OLE_LINK9"/>
            <w:r>
              <w:rPr>
                <w:rFonts w:hint="default" w:ascii="Times New Roman" w:hAnsi="Times New Roman" w:cs="Times New Roman"/>
                <w:b w:val="0"/>
                <w:bCs w:val="0"/>
                <w:color w:val="auto"/>
                <w:spacing w:val="-6"/>
                <w:sz w:val="24"/>
                <w:highlight w:val="none"/>
                <w:lang w:val="en-US" w:eastAsia="zh-CN"/>
              </w:rPr>
              <w:t>莫24井</w:t>
            </w:r>
            <w:bookmarkEnd w:id="72"/>
            <w:r>
              <w:rPr>
                <w:rFonts w:hint="default" w:ascii="Times New Roman" w:hAnsi="Times New Roman" w:cs="Times New Roman"/>
                <w:b w:val="0"/>
                <w:bCs w:val="0"/>
                <w:color w:val="auto"/>
                <w:spacing w:val="-6"/>
                <w:sz w:val="24"/>
                <w:highlight w:val="none"/>
                <w:lang w:val="en-US" w:eastAsia="zh-CN"/>
              </w:rPr>
              <w:t>井型为直井，钻井深度4660m，本项目莫24H井井型为水平井，井口位于原井口东北侧约15m处，为新钻井口，钻井深度约6089m，其中直井段深度约4952m，水平段长度约1137m。</w:t>
            </w:r>
            <w:r>
              <w:rPr>
                <w:rFonts w:hint="default" w:ascii="Times New Roman" w:hAnsi="Times New Roman" w:eastAsia="宋体" w:cs="Times New Roman"/>
                <w:color w:val="auto"/>
                <w:lang w:val="en-US" w:eastAsia="zh-CN"/>
              </w:rPr>
              <w:t>和莫24井目的勘探地层位置不同</w:t>
            </w:r>
            <w:r>
              <w:rPr>
                <w:rFonts w:hint="default" w:ascii="Times New Roman" w:hAnsi="Times New Roman" w:cs="Times New Roman"/>
                <w:b w:val="0"/>
                <w:bCs w:val="0"/>
                <w:color w:val="auto"/>
                <w:spacing w:val="-6"/>
                <w:sz w:val="24"/>
                <w:highlight w:val="none"/>
                <w:lang w:val="en-US" w:eastAsia="zh-CN"/>
              </w:rPr>
              <w:t>。</w:t>
            </w:r>
          </w:p>
          <w:p>
            <w:pPr>
              <w:widowControl/>
              <w:snapToGrid w:val="0"/>
              <w:spacing w:line="500" w:lineRule="exact"/>
              <w:ind w:firstLine="456" w:firstLineChars="200"/>
              <w:jc w:val="both"/>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b w:val="0"/>
                <w:bCs w:val="0"/>
                <w:color w:val="auto"/>
                <w:spacing w:val="-6"/>
                <w:kern w:val="0"/>
                <w:sz w:val="24"/>
                <w:szCs w:val="24"/>
                <w:highlight w:val="none"/>
                <w:lang w:val="en-US" w:eastAsia="zh-CN" w:bidi="ar-SA"/>
              </w:rPr>
              <w:t>根据现场踏勘，</w:t>
            </w:r>
            <w:r>
              <w:rPr>
                <w:rFonts w:hint="eastAsia" w:ascii="Times New Roman" w:hAnsi="Times New Roman" w:cs="Times New Roman"/>
                <w:b w:val="0"/>
                <w:bCs w:val="0"/>
                <w:color w:val="auto"/>
                <w:spacing w:val="-6"/>
                <w:sz w:val="24"/>
                <w:highlight w:val="none"/>
                <w:lang w:val="en-US" w:eastAsia="zh-CN"/>
              </w:rPr>
              <w:t>原莫24井</w:t>
            </w:r>
            <w:r>
              <w:rPr>
                <w:rFonts w:hint="eastAsia" w:ascii="Times New Roman" w:hAnsi="Times New Roman" w:eastAsia="宋体" w:cs="Times New Roman"/>
                <w:b w:val="0"/>
                <w:bCs w:val="0"/>
                <w:color w:val="auto"/>
                <w:spacing w:val="-6"/>
                <w:kern w:val="0"/>
                <w:sz w:val="24"/>
                <w:szCs w:val="24"/>
                <w:highlight w:val="none"/>
                <w:lang w:val="en-US" w:eastAsia="zh-CN" w:bidi="ar-SA"/>
              </w:rPr>
              <w:t>井口已使用水泥墩封堵，井场、道路和生活营地用地平整，无固废遗留，植被得到恢复，优势种为白梭梭，和周边植被优势种一致，植被覆盖度稍低于周边植被。</w:t>
            </w:r>
            <w:r>
              <w:rPr>
                <w:rFonts w:hint="eastAsia" w:cs="Times New Roman"/>
                <w:b w:val="0"/>
                <w:bCs w:val="0"/>
                <w:color w:val="auto"/>
                <w:spacing w:val="-6"/>
                <w:kern w:val="0"/>
                <w:sz w:val="24"/>
                <w:szCs w:val="24"/>
                <w:highlight w:val="none"/>
                <w:lang w:val="en-US" w:eastAsia="zh-CN" w:bidi="ar-SA"/>
              </w:rPr>
              <w:t>本项目结束后对井场进行清理、平整以恢复植被生长条件，通过实施土地复垦确保植被逐步恢复至原水平。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6" w:type="dxa"/>
            <w:vAlign w:val="center"/>
          </w:tcPr>
          <w:p>
            <w:pPr>
              <w:snapToGrid w:val="0"/>
              <w:spacing w:line="500" w:lineRule="exact"/>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生态环境保护目标</w:t>
            </w:r>
          </w:p>
        </w:tc>
        <w:tc>
          <w:tcPr>
            <w:tcW w:w="7646" w:type="dxa"/>
            <w:vAlign w:val="center"/>
          </w:tcPr>
          <w:p>
            <w:pPr>
              <w:pStyle w:val="10"/>
              <w:bidi w:val="0"/>
              <w:rPr>
                <w:rFonts w:hint="default"/>
                <w:color w:val="auto"/>
              </w:rPr>
            </w:pPr>
            <w:r>
              <w:rPr>
                <w:rFonts w:hint="default"/>
                <w:color w:val="auto"/>
              </w:rPr>
              <w:t>根据《建设项目环境影响报告表编制技术指南（生态影响类）</w:t>
            </w:r>
            <w:r>
              <w:rPr>
                <w:rFonts w:hint="eastAsia"/>
                <w:color w:val="auto"/>
                <w:lang w:eastAsia="zh-CN"/>
              </w:rPr>
              <w:t>（试行）》</w:t>
            </w:r>
            <w:r>
              <w:rPr>
                <w:rFonts w:hint="default"/>
                <w:color w:val="auto"/>
              </w:rPr>
              <w:t>，按照环境影响评价相关技术导则要求确定评价范围并识别环境保护目标。</w:t>
            </w:r>
            <w:r>
              <w:rPr>
                <w:rFonts w:hint="default" w:ascii="Times New Roman" w:hAnsi="Times New Roman" w:cs="Times New Roman"/>
                <w:color w:val="auto"/>
                <w:lang w:val="en-US" w:eastAsia="zh-CN"/>
              </w:rPr>
              <w:t>本项目</w:t>
            </w:r>
            <w:r>
              <w:rPr>
                <w:rFonts w:hint="eastAsia" w:ascii="Times New Roman" w:hAnsi="Times New Roman" w:cs="Times New Roman"/>
                <w:color w:val="auto"/>
                <w:lang w:val="en-US" w:eastAsia="zh-CN"/>
              </w:rPr>
              <w:t>评价范围及</w:t>
            </w:r>
            <w:r>
              <w:rPr>
                <w:rFonts w:hint="default" w:ascii="Times New Roman" w:hAnsi="Times New Roman" w:cs="Times New Roman"/>
                <w:color w:val="auto"/>
              </w:rPr>
              <w:t>环境保护目标识别如表</w:t>
            </w:r>
            <w:r>
              <w:rPr>
                <w:rFonts w:hint="eastAsia" w:ascii="Times New Roman" w:hAnsi="Times New Roman" w:cs="Times New Roman"/>
                <w:color w:val="auto"/>
                <w:lang w:val="en-US" w:eastAsia="zh-CN"/>
              </w:rPr>
              <w:t>3-3及表3-4</w:t>
            </w:r>
            <w:r>
              <w:rPr>
                <w:rFonts w:hint="default" w:ascii="Times New Roman" w:hAnsi="Times New Roman" w:cs="Times New Roman"/>
                <w:color w:val="auto"/>
              </w:rPr>
              <w:t>所示。</w:t>
            </w:r>
          </w:p>
          <w:p>
            <w:pPr>
              <w:pStyle w:val="56"/>
              <w:bidi w:val="0"/>
              <w:rPr>
                <w:rFonts w:hint="default"/>
                <w:color w:val="auto"/>
                <w:lang w:val="en-US" w:eastAsia="zh-CN"/>
              </w:rPr>
            </w:pPr>
            <w:r>
              <w:rPr>
                <w:rFonts w:hint="default"/>
                <w:color w:val="auto"/>
              </w:rPr>
              <w:t>表</w:t>
            </w:r>
            <w:r>
              <w:rPr>
                <w:rFonts w:hint="default"/>
                <w:color w:val="auto"/>
                <w:lang w:val="en-US" w:eastAsia="zh-CN"/>
              </w:rPr>
              <w:t xml:space="preserve">3-3  </w:t>
            </w:r>
            <w:r>
              <w:rPr>
                <w:rFonts w:hint="eastAsia"/>
                <w:color w:val="auto"/>
                <w:lang w:val="en-US" w:eastAsia="zh-CN"/>
              </w:rPr>
              <w:t>本项目评价范围</w:t>
            </w:r>
          </w:p>
          <w:tbl>
            <w:tblPr>
              <w:tblStyle w:val="2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3636"/>
              <w:gridCol w:w="276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93" w:type="pct"/>
                  <w:vAlign w:val="center"/>
                </w:tcPr>
                <w:p>
                  <w:pPr>
                    <w:pStyle w:val="67"/>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color w:val="auto"/>
                    </w:rPr>
                  </w:pPr>
                  <w:r>
                    <w:rPr>
                      <w:rFonts w:hint="default" w:ascii="Times New Roman" w:hAnsi="Times New Roman" w:cs="Times New Roman"/>
                      <w:color w:val="auto"/>
                    </w:rPr>
                    <w:t>环境要素</w:t>
                  </w:r>
                </w:p>
              </w:tc>
              <w:tc>
                <w:tcPr>
                  <w:tcW w:w="2446" w:type="pct"/>
                  <w:vAlign w:val="center"/>
                </w:tcPr>
                <w:p>
                  <w:pPr>
                    <w:pStyle w:val="67"/>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color w:val="auto"/>
                    </w:rPr>
                  </w:pPr>
                  <w:r>
                    <w:rPr>
                      <w:rFonts w:hint="default" w:ascii="Times New Roman" w:hAnsi="Times New Roman" w:cs="Times New Roman"/>
                      <w:color w:val="auto"/>
                    </w:rPr>
                    <w:t>判定依据</w:t>
                  </w:r>
                </w:p>
              </w:tc>
              <w:tc>
                <w:tcPr>
                  <w:tcW w:w="1860" w:type="pct"/>
                  <w:shd w:val="clear" w:color="auto" w:fill="auto"/>
                  <w:vAlign w:val="center"/>
                </w:tcPr>
                <w:p>
                  <w:pPr>
                    <w:pStyle w:val="67"/>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宋体" w:cs="Times New Roman"/>
                      <w:color w:val="auto"/>
                      <w:kern w:val="0"/>
                      <w:sz w:val="20"/>
                      <w:szCs w:val="24"/>
                      <w:lang w:val="en-US" w:eastAsia="zh-CN" w:bidi="ar-SA"/>
                    </w:rPr>
                  </w:pPr>
                  <w:r>
                    <w:rPr>
                      <w:rFonts w:hint="default" w:ascii="Times New Roman" w:hAnsi="Times New Roman" w:cs="Times New Roman"/>
                      <w:color w:val="auto"/>
                    </w:rPr>
                    <w:t>评价范围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93" w:type="pct"/>
                  <w:vAlign w:val="center"/>
                </w:tcPr>
                <w:p>
                  <w:pPr>
                    <w:pStyle w:val="63"/>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color w:val="auto"/>
                    </w:rPr>
                  </w:pPr>
                  <w:r>
                    <w:rPr>
                      <w:rFonts w:hint="default" w:ascii="Times New Roman" w:hAnsi="Times New Roman" w:cs="Times New Roman"/>
                      <w:color w:val="auto"/>
                    </w:rPr>
                    <w:t>生态</w:t>
                  </w:r>
                </w:p>
              </w:tc>
              <w:tc>
                <w:tcPr>
                  <w:tcW w:w="2446" w:type="pct"/>
                  <w:vAlign w:val="center"/>
                </w:tcPr>
                <w:p>
                  <w:pPr>
                    <w:pStyle w:val="63"/>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color w:val="auto"/>
                    </w:rPr>
                  </w:pPr>
                  <w:r>
                    <w:rPr>
                      <w:rFonts w:hint="default" w:ascii="Times New Roman" w:hAnsi="Times New Roman" w:cs="Times New Roman"/>
                      <w:color w:val="auto"/>
                    </w:rPr>
                    <w:t>参照《环境影响评价技术导则 陆地石油天然气开发建设项目》（HJ349-2023）</w:t>
                  </w:r>
                </w:p>
              </w:tc>
              <w:tc>
                <w:tcPr>
                  <w:tcW w:w="1860" w:type="pct"/>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宋体" w:cs="Times New Roman"/>
                      <w:color w:val="auto"/>
                      <w:kern w:val="0"/>
                      <w:sz w:val="20"/>
                      <w:szCs w:val="24"/>
                      <w:lang w:val="en-US" w:eastAsia="zh-CN" w:bidi="ar-SA"/>
                    </w:rPr>
                  </w:pPr>
                  <w:r>
                    <w:rPr>
                      <w:rFonts w:hint="default"/>
                      <w:color w:val="auto"/>
                      <w:sz w:val="21"/>
                      <w:szCs w:val="21"/>
                      <w:lang w:val="en-US" w:eastAsia="zh-CN"/>
                    </w:rPr>
                    <w:t>井场及生活营地周围50m范围</w:t>
                  </w:r>
                  <w:r>
                    <w:rPr>
                      <w:rFonts w:hint="eastAsia"/>
                      <w:color w:val="auto"/>
                      <w:sz w:val="21"/>
                      <w:szCs w:val="21"/>
                      <w:lang w:val="en-US" w:eastAsia="zh-CN"/>
                    </w:rPr>
                    <w:t>，</w:t>
                  </w:r>
                  <w:r>
                    <w:rPr>
                      <w:rFonts w:hint="default"/>
                      <w:color w:val="auto"/>
                      <w:sz w:val="21"/>
                      <w:szCs w:val="21"/>
                      <w:lang w:val="en-US" w:eastAsia="zh-CN"/>
                    </w:rPr>
                    <w:t>探临道路两侧外延</w:t>
                  </w:r>
                  <w:r>
                    <w:rPr>
                      <w:rFonts w:hint="eastAsia"/>
                      <w:color w:val="auto"/>
                      <w:sz w:val="21"/>
                      <w:szCs w:val="21"/>
                      <w:lang w:val="en-US" w:eastAsia="zh-CN"/>
                    </w:rPr>
                    <w:t>300m范围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93" w:type="pct"/>
                  <w:vAlign w:val="center"/>
                </w:tcPr>
                <w:p>
                  <w:pPr>
                    <w:pStyle w:val="63"/>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color w:val="auto"/>
                    </w:rPr>
                  </w:pPr>
                  <w:r>
                    <w:rPr>
                      <w:rFonts w:hint="default" w:ascii="Times New Roman" w:hAnsi="Times New Roman" w:cs="Times New Roman"/>
                      <w:color w:val="auto"/>
                    </w:rPr>
                    <w:t>大气</w:t>
                  </w:r>
                </w:p>
              </w:tc>
              <w:tc>
                <w:tcPr>
                  <w:tcW w:w="2446" w:type="pct"/>
                  <w:vAlign w:val="center"/>
                </w:tcPr>
                <w:p>
                  <w:pPr>
                    <w:pStyle w:val="63"/>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color w:val="auto"/>
                    </w:rPr>
                  </w:pPr>
                  <w:r>
                    <w:rPr>
                      <w:rFonts w:hint="default" w:ascii="Times New Roman" w:hAnsi="Times New Roman" w:cs="Times New Roman"/>
                      <w:color w:val="auto"/>
                    </w:rPr>
                    <w:t>《环境影响评价技术导则 大气环境》（HJ2.2-2018）</w:t>
                  </w:r>
                </w:p>
              </w:tc>
              <w:tc>
                <w:tcPr>
                  <w:tcW w:w="1860" w:type="pct"/>
                  <w:shd w:val="clear" w:color="auto" w:fill="auto"/>
                  <w:vAlign w:val="center"/>
                </w:tcPr>
                <w:p>
                  <w:pPr>
                    <w:pStyle w:val="63"/>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宋体" w:cs="Times New Roman"/>
                      <w:color w:val="auto"/>
                      <w:kern w:val="0"/>
                      <w:sz w:val="20"/>
                      <w:szCs w:val="24"/>
                      <w:lang w:val="en-US" w:eastAsia="zh-CN" w:bidi="ar-SA"/>
                    </w:rPr>
                  </w:pPr>
                  <w:r>
                    <w:rPr>
                      <w:rFonts w:hint="default" w:ascii="Times New Roman" w:hAnsi="Times New Roman" w:cs="Times New Roman"/>
                      <w:color w:val="auto"/>
                    </w:rPr>
                    <w:t>不设置评价范围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93" w:type="pct"/>
                  <w:vAlign w:val="center"/>
                </w:tcPr>
                <w:p>
                  <w:pPr>
                    <w:pStyle w:val="63"/>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color w:val="auto"/>
                    </w:rPr>
                  </w:pPr>
                  <w:r>
                    <w:rPr>
                      <w:rFonts w:hint="default" w:ascii="Times New Roman" w:hAnsi="Times New Roman" w:cs="Times New Roman"/>
                      <w:color w:val="auto"/>
                    </w:rPr>
                    <w:t>地表水</w:t>
                  </w:r>
                </w:p>
              </w:tc>
              <w:tc>
                <w:tcPr>
                  <w:tcW w:w="2446" w:type="pct"/>
                  <w:vAlign w:val="center"/>
                </w:tcPr>
                <w:p>
                  <w:pPr>
                    <w:pStyle w:val="63"/>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color w:val="auto"/>
                    </w:rPr>
                  </w:pPr>
                  <w:r>
                    <w:rPr>
                      <w:rFonts w:hint="default" w:ascii="Times New Roman" w:hAnsi="Times New Roman" w:cs="Times New Roman"/>
                      <w:color w:val="auto"/>
                    </w:rPr>
                    <w:t>《环境影响评价技术导则 地表水环境》（HJ2.3-2018）</w:t>
                  </w:r>
                </w:p>
              </w:tc>
              <w:tc>
                <w:tcPr>
                  <w:tcW w:w="1860" w:type="pct"/>
                  <w:shd w:val="clear" w:color="auto" w:fill="auto"/>
                  <w:vAlign w:val="center"/>
                </w:tcPr>
                <w:p>
                  <w:pPr>
                    <w:pStyle w:val="63"/>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宋体" w:cs="Times New Roman"/>
                      <w:color w:val="auto"/>
                      <w:kern w:val="0"/>
                      <w:sz w:val="20"/>
                      <w:szCs w:val="24"/>
                      <w:lang w:val="en-US" w:eastAsia="zh-CN" w:bidi="ar-SA"/>
                    </w:rPr>
                  </w:pPr>
                  <w:r>
                    <w:rPr>
                      <w:rFonts w:hint="default" w:ascii="Times New Roman" w:hAnsi="Times New Roman" w:cs="Times New Roman"/>
                      <w:color w:val="auto"/>
                    </w:rPr>
                    <w:t>不设置评价范围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93" w:type="pct"/>
                  <w:vAlign w:val="center"/>
                </w:tcPr>
                <w:p>
                  <w:pPr>
                    <w:pStyle w:val="63"/>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color w:val="auto"/>
                    </w:rPr>
                  </w:pPr>
                  <w:r>
                    <w:rPr>
                      <w:rFonts w:hint="default" w:ascii="Times New Roman" w:hAnsi="Times New Roman" w:cs="Times New Roman"/>
                      <w:color w:val="auto"/>
                    </w:rPr>
                    <w:t>地下水</w:t>
                  </w:r>
                </w:p>
              </w:tc>
              <w:tc>
                <w:tcPr>
                  <w:tcW w:w="2446" w:type="pct"/>
                  <w:vAlign w:val="center"/>
                </w:tcPr>
                <w:p>
                  <w:pPr>
                    <w:pStyle w:val="63"/>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color w:val="auto"/>
                    </w:rPr>
                  </w:pPr>
                  <w:r>
                    <w:rPr>
                      <w:rFonts w:hint="default" w:ascii="Times New Roman" w:hAnsi="Times New Roman" w:cs="Times New Roman"/>
                      <w:color w:val="auto"/>
                    </w:rPr>
                    <w:t>《环境影响评价技术导则 地下水环境》（HJ610-2016）</w:t>
                  </w:r>
                </w:p>
              </w:tc>
              <w:tc>
                <w:tcPr>
                  <w:tcW w:w="1860" w:type="pct"/>
                  <w:shd w:val="clear" w:color="auto" w:fill="auto"/>
                  <w:vAlign w:val="center"/>
                </w:tcPr>
                <w:p>
                  <w:pPr>
                    <w:pStyle w:val="63"/>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宋体" w:cs="Times New Roman"/>
                      <w:color w:val="auto"/>
                      <w:kern w:val="0"/>
                      <w:sz w:val="20"/>
                      <w:szCs w:val="24"/>
                      <w:lang w:val="en-US" w:eastAsia="zh-CN" w:bidi="ar-SA"/>
                    </w:rPr>
                  </w:pPr>
                  <w:r>
                    <w:rPr>
                      <w:rFonts w:hint="default" w:ascii="Times New Roman" w:hAnsi="Times New Roman" w:cs="Times New Roman"/>
                      <w:color w:val="auto"/>
                    </w:rPr>
                    <w:t>不设置评价范围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93" w:type="pct"/>
                  <w:vAlign w:val="center"/>
                </w:tcPr>
                <w:p>
                  <w:pPr>
                    <w:pStyle w:val="63"/>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color w:val="auto"/>
                    </w:rPr>
                  </w:pPr>
                  <w:r>
                    <w:rPr>
                      <w:rFonts w:hint="default" w:ascii="Times New Roman" w:hAnsi="Times New Roman" w:cs="Times New Roman"/>
                      <w:color w:val="auto"/>
                    </w:rPr>
                    <w:t>声环境</w:t>
                  </w:r>
                </w:p>
              </w:tc>
              <w:tc>
                <w:tcPr>
                  <w:tcW w:w="2446" w:type="pct"/>
                  <w:vAlign w:val="center"/>
                </w:tcPr>
                <w:p>
                  <w:pPr>
                    <w:pStyle w:val="63"/>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color w:val="auto"/>
                    </w:rPr>
                  </w:pPr>
                  <w:r>
                    <w:rPr>
                      <w:rFonts w:hint="default" w:ascii="Times New Roman" w:hAnsi="Times New Roman" w:cs="Times New Roman"/>
                      <w:color w:val="auto"/>
                    </w:rPr>
                    <w:t>《环境影响评价技术导则 声环境》（HJ2.4-2021）</w:t>
                  </w:r>
                </w:p>
              </w:tc>
              <w:tc>
                <w:tcPr>
                  <w:tcW w:w="1860" w:type="pct"/>
                  <w:shd w:val="clear" w:color="auto" w:fill="auto"/>
                  <w:vAlign w:val="center"/>
                </w:tcPr>
                <w:p>
                  <w:pPr>
                    <w:pStyle w:val="63"/>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宋体" w:cs="Times New Roman"/>
                      <w:color w:val="auto"/>
                      <w:kern w:val="0"/>
                      <w:sz w:val="20"/>
                      <w:szCs w:val="24"/>
                      <w:lang w:val="en-US" w:eastAsia="zh-CN" w:bidi="ar-SA"/>
                    </w:rPr>
                  </w:pPr>
                  <w:r>
                    <w:rPr>
                      <w:rFonts w:hint="default" w:ascii="Times New Roman" w:hAnsi="Times New Roman" w:cs="Times New Roman"/>
                      <w:color w:val="auto"/>
                    </w:rPr>
                    <w:t>井场外延200m的范围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93" w:type="pct"/>
                  <w:vAlign w:val="center"/>
                </w:tcPr>
                <w:p>
                  <w:pPr>
                    <w:pStyle w:val="63"/>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color w:val="auto"/>
                    </w:rPr>
                  </w:pPr>
                  <w:r>
                    <w:rPr>
                      <w:rFonts w:hint="default" w:ascii="Times New Roman" w:hAnsi="Times New Roman" w:cs="Times New Roman"/>
                      <w:color w:val="auto"/>
                    </w:rPr>
                    <w:t>土壤环境</w:t>
                  </w:r>
                </w:p>
              </w:tc>
              <w:tc>
                <w:tcPr>
                  <w:tcW w:w="2446" w:type="pct"/>
                  <w:vAlign w:val="center"/>
                </w:tcPr>
                <w:p>
                  <w:pPr>
                    <w:pStyle w:val="63"/>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color w:val="auto"/>
                      <w:lang w:val="en-US" w:eastAsia="zh-CN"/>
                    </w:rPr>
                  </w:pPr>
                  <w:r>
                    <w:rPr>
                      <w:rFonts w:hint="default" w:ascii="Times New Roman" w:hAnsi="Times New Roman" w:cs="Times New Roman"/>
                      <w:color w:val="auto"/>
                    </w:rPr>
                    <w:t>《环境影响评价技术导则 土壤环境（试行）》（HJ964-2018）</w:t>
                  </w:r>
                </w:p>
              </w:tc>
              <w:tc>
                <w:tcPr>
                  <w:tcW w:w="1860" w:type="pct"/>
                  <w:shd w:val="clear" w:color="auto" w:fill="auto"/>
                  <w:vAlign w:val="center"/>
                </w:tcPr>
                <w:p>
                  <w:pPr>
                    <w:pStyle w:val="63"/>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宋体" w:cs="Times New Roman"/>
                      <w:color w:val="auto"/>
                      <w:kern w:val="0"/>
                      <w:sz w:val="20"/>
                      <w:szCs w:val="24"/>
                      <w:lang w:val="en-US" w:eastAsia="zh-CN" w:bidi="ar-SA"/>
                    </w:rPr>
                  </w:pPr>
                  <w:r>
                    <w:rPr>
                      <w:rFonts w:hint="default" w:ascii="Times New Roman" w:hAnsi="Times New Roman" w:cs="Times New Roman"/>
                      <w:color w:val="auto"/>
                    </w:rPr>
                    <w:t>不设置评价范围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93" w:type="pct"/>
                  <w:vAlign w:val="center"/>
                </w:tcPr>
                <w:p>
                  <w:pPr>
                    <w:pStyle w:val="63"/>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color w:val="auto"/>
                    </w:rPr>
                  </w:pPr>
                  <w:r>
                    <w:rPr>
                      <w:rFonts w:hint="default" w:ascii="Times New Roman" w:hAnsi="Times New Roman" w:cs="Times New Roman"/>
                      <w:color w:val="auto"/>
                    </w:rPr>
                    <w:t>环境风险</w:t>
                  </w:r>
                </w:p>
              </w:tc>
              <w:tc>
                <w:tcPr>
                  <w:tcW w:w="2446" w:type="pct"/>
                  <w:vAlign w:val="center"/>
                </w:tcPr>
                <w:p>
                  <w:pPr>
                    <w:pStyle w:val="63"/>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color w:val="auto"/>
                    </w:rPr>
                  </w:pPr>
                  <w:r>
                    <w:rPr>
                      <w:rFonts w:hint="default" w:ascii="Times New Roman" w:hAnsi="Times New Roman" w:cs="Times New Roman"/>
                      <w:color w:val="auto"/>
                    </w:rPr>
                    <w:t>《建设项目环境风险评价技术导则》（HJ169-2018）</w:t>
                  </w:r>
                </w:p>
              </w:tc>
              <w:tc>
                <w:tcPr>
                  <w:tcW w:w="1860" w:type="pct"/>
                  <w:vAlign w:val="center"/>
                </w:tcPr>
                <w:p>
                  <w:pPr>
                    <w:pStyle w:val="63"/>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color w:val="auto"/>
                    </w:rPr>
                  </w:pPr>
                  <w:r>
                    <w:rPr>
                      <w:rFonts w:hint="default" w:ascii="Times New Roman" w:hAnsi="Times New Roman" w:cs="Times New Roman"/>
                      <w:color w:val="auto"/>
                    </w:rPr>
                    <w:t>不设置评价范围</w:t>
                  </w:r>
                </w:p>
              </w:tc>
            </w:tr>
          </w:tbl>
          <w:p>
            <w:pPr>
              <w:pStyle w:val="56"/>
              <w:bidi w:val="0"/>
              <w:rPr>
                <w:rFonts w:hint="eastAsia"/>
                <w:color w:val="auto"/>
                <w:lang w:val="en-US" w:eastAsia="zh-CN"/>
              </w:rPr>
            </w:pPr>
            <w:r>
              <w:rPr>
                <w:rFonts w:hint="eastAsia"/>
                <w:color w:val="auto"/>
                <w:lang w:val="en-US" w:eastAsia="zh-CN"/>
              </w:rPr>
              <w:t>表3-4  本项目涉及的环境保护目标一览表</w:t>
            </w:r>
          </w:p>
          <w:tbl>
            <w:tblPr>
              <w:tblStyle w:val="50"/>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691"/>
              <w:gridCol w:w="1960"/>
              <w:gridCol w:w="1063"/>
              <w:gridCol w:w="1167"/>
              <w:gridCol w:w="254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465" w:type="pct"/>
                  <w:tcBorders>
                    <w:tl2br w:val="nil"/>
                    <w:tr2bl w:val="nil"/>
                  </w:tcBorders>
                  <w:shd w:val="clear" w:color="auto" w:fill="auto"/>
                  <w:vAlign w:val="center"/>
                </w:tcPr>
                <w:p>
                  <w:pPr>
                    <w:pStyle w:val="25"/>
                    <w:keepNext w:val="0"/>
                    <w:keepLines w:val="0"/>
                    <w:pageBreakBefore w:val="0"/>
                    <w:kinsoku/>
                    <w:wordWrap/>
                    <w:overflowPunct/>
                    <w:topLinePunct w:val="0"/>
                    <w:autoSpaceDE/>
                    <w:autoSpaceDN/>
                    <w:bidi w:val="0"/>
                    <w:adjustRightInd/>
                    <w:snapToGrid w:val="0"/>
                    <w:spacing w:before="0" w:beforeAutospacing="0" w:after="0" w:afterAutospacing="0" w:line="240" w:lineRule="auto"/>
                    <w:contextualSpacing/>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保护要素</w:t>
                  </w:r>
                </w:p>
              </w:tc>
              <w:tc>
                <w:tcPr>
                  <w:tcW w:w="1318" w:type="pct"/>
                  <w:tcBorders>
                    <w:tl2br w:val="nil"/>
                    <w:tr2bl w:val="nil"/>
                  </w:tcBorders>
                  <w:shd w:val="clear" w:color="auto" w:fill="auto"/>
                  <w:vAlign w:val="center"/>
                </w:tcPr>
                <w:p>
                  <w:pPr>
                    <w:pStyle w:val="25"/>
                    <w:keepNext w:val="0"/>
                    <w:keepLines w:val="0"/>
                    <w:pageBreakBefore w:val="0"/>
                    <w:kinsoku/>
                    <w:wordWrap/>
                    <w:overflowPunct/>
                    <w:topLinePunct w:val="0"/>
                    <w:autoSpaceDE/>
                    <w:autoSpaceDN/>
                    <w:bidi w:val="0"/>
                    <w:adjustRightInd/>
                    <w:snapToGrid w:val="0"/>
                    <w:spacing w:before="0" w:beforeAutospacing="0" w:after="0" w:afterAutospacing="0" w:line="240" w:lineRule="auto"/>
                    <w:contextualSpacing/>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保护对象</w:t>
                  </w:r>
                </w:p>
              </w:tc>
              <w:tc>
                <w:tcPr>
                  <w:tcW w:w="715" w:type="pct"/>
                  <w:tcBorders>
                    <w:tl2br w:val="nil"/>
                    <w:tr2bl w:val="nil"/>
                  </w:tcBorders>
                  <w:shd w:val="clear" w:color="auto" w:fill="auto"/>
                  <w:vAlign w:val="center"/>
                </w:tcPr>
                <w:p>
                  <w:pPr>
                    <w:pStyle w:val="25"/>
                    <w:keepNext w:val="0"/>
                    <w:keepLines w:val="0"/>
                    <w:pageBreakBefore w:val="0"/>
                    <w:kinsoku/>
                    <w:wordWrap/>
                    <w:overflowPunct/>
                    <w:topLinePunct w:val="0"/>
                    <w:autoSpaceDE/>
                    <w:autoSpaceDN/>
                    <w:bidi w:val="0"/>
                    <w:adjustRightInd/>
                    <w:snapToGrid w:val="0"/>
                    <w:spacing w:before="0" w:beforeAutospacing="0" w:after="0" w:afterAutospacing="0" w:line="240" w:lineRule="auto"/>
                    <w:contextualSpacing/>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数量规模</w:t>
                  </w:r>
                </w:p>
              </w:tc>
              <w:tc>
                <w:tcPr>
                  <w:tcW w:w="785" w:type="pct"/>
                  <w:tcBorders>
                    <w:tl2br w:val="nil"/>
                    <w:tr2bl w:val="nil"/>
                  </w:tcBorders>
                  <w:shd w:val="clear" w:color="auto" w:fill="auto"/>
                  <w:vAlign w:val="center"/>
                </w:tcPr>
                <w:p>
                  <w:pPr>
                    <w:pStyle w:val="25"/>
                    <w:keepNext w:val="0"/>
                    <w:keepLines w:val="0"/>
                    <w:pageBreakBefore w:val="0"/>
                    <w:kinsoku/>
                    <w:wordWrap/>
                    <w:overflowPunct/>
                    <w:topLinePunct w:val="0"/>
                    <w:autoSpaceDE/>
                    <w:autoSpaceDN/>
                    <w:bidi w:val="0"/>
                    <w:adjustRightInd/>
                    <w:snapToGrid w:val="0"/>
                    <w:spacing w:before="0" w:beforeAutospacing="0" w:after="0" w:afterAutospacing="0" w:line="240" w:lineRule="auto"/>
                    <w:contextualSpacing/>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距离</w:t>
                  </w:r>
                  <w:r>
                    <w:rPr>
                      <w:rFonts w:hint="eastAsia" w:ascii="Times New Roman" w:hAnsi="Times New Roman" w:cs="Times New Roman"/>
                      <w:color w:val="auto"/>
                      <w:sz w:val="21"/>
                      <w:szCs w:val="21"/>
                      <w:lang w:val="en-US" w:eastAsia="zh-CN"/>
                    </w:rPr>
                    <w:t>/</w:t>
                  </w:r>
                  <w:r>
                    <w:rPr>
                      <w:rFonts w:hint="default" w:ascii="Times New Roman" w:hAnsi="Times New Roman" w:cs="Times New Roman"/>
                      <w:color w:val="auto"/>
                      <w:sz w:val="21"/>
                      <w:szCs w:val="21"/>
                    </w:rPr>
                    <w:t>方位</w:t>
                  </w:r>
                </w:p>
              </w:tc>
              <w:tc>
                <w:tcPr>
                  <w:tcW w:w="1715" w:type="pct"/>
                  <w:tcBorders>
                    <w:tl2br w:val="nil"/>
                    <w:tr2bl w:val="nil"/>
                  </w:tcBorders>
                  <w:shd w:val="clear" w:color="auto" w:fill="auto"/>
                  <w:vAlign w:val="center"/>
                </w:tcPr>
                <w:p>
                  <w:pPr>
                    <w:pStyle w:val="25"/>
                    <w:keepNext w:val="0"/>
                    <w:keepLines w:val="0"/>
                    <w:pageBreakBefore w:val="0"/>
                    <w:kinsoku/>
                    <w:wordWrap/>
                    <w:overflowPunct/>
                    <w:topLinePunct w:val="0"/>
                    <w:autoSpaceDE/>
                    <w:autoSpaceDN/>
                    <w:bidi w:val="0"/>
                    <w:adjustRightInd/>
                    <w:snapToGrid w:val="0"/>
                    <w:spacing w:before="0" w:beforeAutospacing="0" w:after="0" w:afterAutospacing="0" w:line="240" w:lineRule="auto"/>
                    <w:contextualSpacing/>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保护级别/保护要求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590" w:hRule="atLeast"/>
                <w:jc w:val="center"/>
              </w:trPr>
              <w:tc>
                <w:tcPr>
                  <w:tcW w:w="465" w:type="pct"/>
                  <w:vMerge w:val="restart"/>
                  <w:tcBorders>
                    <w:tl2br w:val="nil"/>
                    <w:tr2bl w:val="nil"/>
                  </w:tcBorders>
                  <w:shd w:val="clear" w:color="auto" w:fill="auto"/>
                  <w:vAlign w:val="center"/>
                </w:tcPr>
                <w:p>
                  <w:pPr>
                    <w:pStyle w:val="25"/>
                    <w:keepNext w:val="0"/>
                    <w:keepLines w:val="0"/>
                    <w:pageBreakBefore w:val="0"/>
                    <w:kinsoku/>
                    <w:wordWrap/>
                    <w:overflowPunct/>
                    <w:topLinePunct w:val="0"/>
                    <w:autoSpaceDE/>
                    <w:autoSpaceDN/>
                    <w:bidi w:val="0"/>
                    <w:adjustRightInd/>
                    <w:snapToGrid w:val="0"/>
                    <w:spacing w:before="0" w:beforeAutospacing="0" w:after="0" w:afterAutospacing="0" w:line="240" w:lineRule="auto"/>
                    <w:contextualSpacing/>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生态环境</w:t>
                  </w:r>
                </w:p>
              </w:tc>
              <w:tc>
                <w:tcPr>
                  <w:tcW w:w="1318" w:type="pct"/>
                  <w:tcBorders>
                    <w:tl2br w:val="nil"/>
                    <w:tr2bl w:val="nil"/>
                  </w:tcBorders>
                  <w:shd w:val="clear" w:color="auto" w:fill="auto"/>
                  <w:vAlign w:val="center"/>
                </w:tcPr>
                <w:p>
                  <w:pPr>
                    <w:pStyle w:val="25"/>
                    <w:keepNext w:val="0"/>
                    <w:keepLines w:val="0"/>
                    <w:pageBreakBefore w:val="0"/>
                    <w:kinsoku/>
                    <w:wordWrap/>
                    <w:overflowPunct/>
                    <w:topLinePunct w:val="0"/>
                    <w:autoSpaceDE/>
                    <w:autoSpaceDN/>
                    <w:bidi w:val="0"/>
                    <w:adjustRightInd/>
                    <w:snapToGrid w:val="0"/>
                    <w:spacing w:before="0" w:beforeAutospacing="0" w:after="0" w:afterAutospacing="0" w:line="240" w:lineRule="auto"/>
                    <w:contextualSpacing/>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野生植物及其生境</w:t>
                  </w:r>
                </w:p>
              </w:tc>
              <w:tc>
                <w:tcPr>
                  <w:tcW w:w="715"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120" w:leftChars="-50" w:right="-120" w:rightChars="-50"/>
                    <w:contextualSpacing/>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植被盖度约</w:t>
                  </w:r>
                </w:p>
                <w:p>
                  <w:pPr>
                    <w:pStyle w:val="2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left="-120" w:leftChars="-50" w:right="-120" w:rightChars="-50"/>
                    <w:contextualSpacing/>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20</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2</w:t>
                  </w:r>
                  <w:r>
                    <w:rPr>
                      <w:rFonts w:hint="eastAsia" w:ascii="Times New Roman" w:hAnsi="Times New Roman" w:cs="Times New Roman"/>
                      <w:color w:val="auto"/>
                      <w:sz w:val="21"/>
                      <w:szCs w:val="21"/>
                      <w:lang w:val="en-US" w:eastAsia="zh-CN"/>
                    </w:rPr>
                    <w:t>5</w:t>
                  </w:r>
                  <w:r>
                    <w:rPr>
                      <w:rFonts w:hint="default" w:ascii="Times New Roman" w:hAnsi="Times New Roman" w:cs="Times New Roman"/>
                      <w:color w:val="auto"/>
                      <w:sz w:val="21"/>
                      <w:szCs w:val="21"/>
                    </w:rPr>
                    <w:t>%</w:t>
                  </w:r>
                </w:p>
              </w:tc>
              <w:tc>
                <w:tcPr>
                  <w:tcW w:w="785" w:type="pct"/>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val="0"/>
                    <w:spacing w:beforeAutospacing="0" w:afterAutospacing="0" w:line="240" w:lineRule="auto"/>
                    <w:contextualSpacing/>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评价范围内</w:t>
                  </w:r>
                </w:p>
              </w:tc>
              <w:tc>
                <w:tcPr>
                  <w:tcW w:w="1715" w:type="pct"/>
                  <w:tcBorders>
                    <w:tl2br w:val="nil"/>
                    <w:tr2bl w:val="nil"/>
                  </w:tcBorders>
                  <w:shd w:val="clear" w:color="auto" w:fill="auto"/>
                  <w:vAlign w:val="center"/>
                </w:tcPr>
                <w:p>
                  <w:pPr>
                    <w:pStyle w:val="25"/>
                    <w:keepNext w:val="0"/>
                    <w:keepLines w:val="0"/>
                    <w:pageBreakBefore w:val="0"/>
                    <w:kinsoku/>
                    <w:wordWrap/>
                    <w:overflowPunct/>
                    <w:topLinePunct w:val="0"/>
                    <w:autoSpaceDE/>
                    <w:autoSpaceDN/>
                    <w:bidi w:val="0"/>
                    <w:adjustRightInd/>
                    <w:snapToGrid w:val="0"/>
                    <w:spacing w:before="0" w:beforeAutospacing="0" w:after="0" w:afterAutospacing="0" w:line="240" w:lineRule="auto"/>
                    <w:contextualSpacing/>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禁止随意踩踏碾压、</w:t>
                  </w:r>
                  <w:r>
                    <w:rPr>
                      <w:rFonts w:hint="eastAsia" w:ascii="Times New Roman" w:hAnsi="Times New Roman" w:cs="Times New Roman"/>
                      <w:color w:val="auto"/>
                      <w:sz w:val="21"/>
                      <w:szCs w:val="21"/>
                      <w:lang w:val="en-US" w:eastAsia="zh-CN"/>
                    </w:rPr>
                    <w:t>破坏</w:t>
                  </w:r>
                  <w:r>
                    <w:rPr>
                      <w:rFonts w:hint="default" w:ascii="Times New Roman" w:hAnsi="Times New Roman" w:cs="Times New Roman"/>
                      <w:color w:val="auto"/>
                      <w:sz w:val="21"/>
                      <w:szCs w:val="21"/>
                    </w:rPr>
                    <w:t>野生植物，保护占地范围外的野生植物生境不被破坏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517" w:hRule="atLeast"/>
                <w:jc w:val="center"/>
              </w:trPr>
              <w:tc>
                <w:tcPr>
                  <w:tcW w:w="465" w:type="pct"/>
                  <w:vMerge w:val="continue"/>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val="0"/>
                    <w:spacing w:beforeAutospacing="0" w:afterAutospacing="0" w:line="240" w:lineRule="auto"/>
                    <w:contextualSpacing/>
                    <w:jc w:val="center"/>
                    <w:textAlignment w:val="auto"/>
                    <w:rPr>
                      <w:rFonts w:hint="default" w:ascii="Times New Roman" w:hAnsi="Times New Roman" w:cs="Times New Roman"/>
                      <w:color w:val="auto"/>
                      <w:sz w:val="21"/>
                      <w:szCs w:val="21"/>
                    </w:rPr>
                  </w:pPr>
                </w:p>
              </w:tc>
              <w:tc>
                <w:tcPr>
                  <w:tcW w:w="1318" w:type="pct"/>
                  <w:tcBorders>
                    <w:tl2br w:val="nil"/>
                    <w:tr2bl w:val="nil"/>
                  </w:tcBorders>
                  <w:shd w:val="clear" w:color="auto" w:fill="auto"/>
                  <w:vAlign w:val="center"/>
                </w:tcPr>
                <w:p>
                  <w:pPr>
                    <w:pStyle w:val="25"/>
                    <w:keepNext w:val="0"/>
                    <w:keepLines w:val="0"/>
                    <w:pageBreakBefore w:val="0"/>
                    <w:kinsoku/>
                    <w:wordWrap/>
                    <w:overflowPunct/>
                    <w:topLinePunct w:val="0"/>
                    <w:autoSpaceDE/>
                    <w:autoSpaceDN/>
                    <w:bidi w:val="0"/>
                    <w:adjustRightInd/>
                    <w:snapToGrid w:val="0"/>
                    <w:spacing w:before="0" w:beforeAutospacing="0" w:after="0" w:afterAutospacing="0" w:line="240" w:lineRule="auto"/>
                    <w:contextualSpacing/>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野生动物及其生境</w:t>
                  </w:r>
                </w:p>
              </w:tc>
              <w:tc>
                <w:tcPr>
                  <w:tcW w:w="715" w:type="pct"/>
                  <w:tcBorders>
                    <w:tl2br w:val="nil"/>
                    <w:tr2bl w:val="nil"/>
                  </w:tcBorders>
                  <w:shd w:val="clear" w:color="auto" w:fill="auto"/>
                  <w:vAlign w:val="center"/>
                </w:tcPr>
                <w:p>
                  <w:pPr>
                    <w:pStyle w:val="25"/>
                    <w:keepNext w:val="0"/>
                    <w:keepLines w:val="0"/>
                    <w:pageBreakBefore w:val="0"/>
                    <w:kinsoku/>
                    <w:wordWrap/>
                    <w:overflowPunct/>
                    <w:topLinePunct w:val="0"/>
                    <w:autoSpaceDE/>
                    <w:autoSpaceDN/>
                    <w:bidi w:val="0"/>
                    <w:adjustRightInd/>
                    <w:snapToGrid w:val="0"/>
                    <w:spacing w:before="0" w:beforeAutospacing="0" w:after="0" w:afterAutospacing="0" w:line="240" w:lineRule="auto"/>
                    <w:contextualSpacing/>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w:t>
                  </w:r>
                </w:p>
              </w:tc>
              <w:tc>
                <w:tcPr>
                  <w:tcW w:w="785" w:type="pct"/>
                  <w:tcBorders>
                    <w:tl2br w:val="nil"/>
                    <w:tr2bl w:val="nil"/>
                  </w:tcBorders>
                  <w:shd w:val="clear" w:color="auto" w:fill="auto"/>
                  <w:vAlign w:val="center"/>
                </w:tcPr>
                <w:p>
                  <w:pPr>
                    <w:pStyle w:val="25"/>
                    <w:keepNext w:val="0"/>
                    <w:keepLines w:val="0"/>
                    <w:pageBreakBefore w:val="0"/>
                    <w:kinsoku/>
                    <w:wordWrap/>
                    <w:overflowPunct/>
                    <w:topLinePunct w:val="0"/>
                    <w:autoSpaceDE/>
                    <w:autoSpaceDN/>
                    <w:bidi w:val="0"/>
                    <w:adjustRightInd/>
                    <w:snapToGrid w:val="0"/>
                    <w:spacing w:before="0" w:beforeAutospacing="0" w:after="0" w:afterAutospacing="0" w:line="240" w:lineRule="auto"/>
                    <w:contextualSpacing/>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评价范围内</w:t>
                  </w:r>
                </w:p>
              </w:tc>
              <w:tc>
                <w:tcPr>
                  <w:tcW w:w="1715" w:type="pct"/>
                  <w:tcBorders>
                    <w:tl2br w:val="nil"/>
                    <w:tr2bl w:val="nil"/>
                  </w:tcBorders>
                  <w:shd w:val="clear" w:color="auto" w:fill="auto"/>
                  <w:vAlign w:val="center"/>
                </w:tcPr>
                <w:p>
                  <w:pPr>
                    <w:pStyle w:val="25"/>
                    <w:keepNext w:val="0"/>
                    <w:keepLines w:val="0"/>
                    <w:pageBreakBefore w:val="0"/>
                    <w:kinsoku/>
                    <w:wordWrap/>
                    <w:overflowPunct/>
                    <w:topLinePunct w:val="0"/>
                    <w:autoSpaceDE/>
                    <w:autoSpaceDN/>
                    <w:bidi w:val="0"/>
                    <w:adjustRightInd/>
                    <w:snapToGrid w:val="0"/>
                    <w:spacing w:before="0" w:beforeAutospacing="0" w:after="0" w:afterAutospacing="0" w:line="240" w:lineRule="auto"/>
                    <w:contextualSpacing/>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禁止捕杀野生动物，保护野生动物生境不被破坏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465" w:type="pct"/>
                  <w:vMerge w:val="continue"/>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val="0"/>
                    <w:spacing w:beforeAutospacing="0" w:afterAutospacing="0" w:line="240" w:lineRule="auto"/>
                    <w:contextualSpacing/>
                    <w:jc w:val="center"/>
                    <w:textAlignment w:val="auto"/>
                    <w:rPr>
                      <w:rFonts w:hint="default" w:ascii="Times New Roman" w:hAnsi="Times New Roman" w:cs="Times New Roman"/>
                      <w:color w:val="auto"/>
                      <w:sz w:val="21"/>
                      <w:szCs w:val="21"/>
                    </w:rPr>
                  </w:pPr>
                </w:p>
              </w:tc>
              <w:tc>
                <w:tcPr>
                  <w:tcW w:w="1318" w:type="pct"/>
                  <w:tcBorders>
                    <w:tl2br w:val="nil"/>
                    <w:tr2bl w:val="nil"/>
                  </w:tcBorders>
                  <w:shd w:val="clear" w:color="auto" w:fill="auto"/>
                  <w:vAlign w:val="center"/>
                </w:tcPr>
                <w:p>
                  <w:pPr>
                    <w:pStyle w:val="25"/>
                    <w:keepNext w:val="0"/>
                    <w:keepLines w:val="0"/>
                    <w:pageBreakBefore w:val="0"/>
                    <w:kinsoku/>
                    <w:wordWrap/>
                    <w:overflowPunct/>
                    <w:topLinePunct w:val="0"/>
                    <w:autoSpaceDE/>
                    <w:autoSpaceDN/>
                    <w:bidi w:val="0"/>
                    <w:adjustRightInd/>
                    <w:snapToGrid w:val="0"/>
                    <w:spacing w:before="0" w:beforeAutospacing="0" w:after="0" w:afterAutospacing="0" w:line="240" w:lineRule="auto"/>
                    <w:contextualSpacing/>
                    <w:jc w:val="center"/>
                    <w:textAlignment w:val="auto"/>
                    <w:rPr>
                      <w:rFonts w:hint="default" w:ascii="Times New Roman" w:hAnsi="Times New Roman" w:cs="Times New Roman"/>
                      <w:color w:val="auto"/>
                      <w:sz w:val="21"/>
                      <w:szCs w:val="21"/>
                    </w:rPr>
                  </w:pPr>
                  <w:r>
                    <w:rPr>
                      <w:rFonts w:hint="eastAsia" w:ascii="Times New Roman" w:hAnsi="Times New Roman" w:cs="Times New Roman"/>
                      <w:color w:val="auto"/>
                      <w:sz w:val="21"/>
                      <w:szCs w:val="21"/>
                      <w:lang w:val="en-US" w:eastAsia="zh-CN"/>
                    </w:rPr>
                    <w:t>半</w:t>
                  </w:r>
                  <w:r>
                    <w:rPr>
                      <w:rFonts w:hint="default" w:ascii="Times New Roman" w:hAnsi="Times New Roman" w:cs="Times New Roman"/>
                      <w:color w:val="auto"/>
                      <w:sz w:val="21"/>
                      <w:szCs w:val="21"/>
                    </w:rPr>
                    <w:t>固定沙地</w:t>
                  </w:r>
                </w:p>
              </w:tc>
              <w:tc>
                <w:tcPr>
                  <w:tcW w:w="715" w:type="pct"/>
                  <w:tcBorders>
                    <w:tl2br w:val="nil"/>
                    <w:tr2bl w:val="nil"/>
                  </w:tcBorders>
                  <w:shd w:val="clear" w:color="auto" w:fill="auto"/>
                  <w:vAlign w:val="center"/>
                </w:tcPr>
                <w:p>
                  <w:pPr>
                    <w:pStyle w:val="25"/>
                    <w:keepNext w:val="0"/>
                    <w:keepLines w:val="0"/>
                    <w:pageBreakBefore w:val="0"/>
                    <w:kinsoku/>
                    <w:wordWrap/>
                    <w:overflowPunct/>
                    <w:topLinePunct w:val="0"/>
                    <w:autoSpaceDE/>
                    <w:autoSpaceDN/>
                    <w:bidi w:val="0"/>
                    <w:adjustRightInd/>
                    <w:snapToGrid w:val="0"/>
                    <w:spacing w:before="0" w:beforeAutospacing="0" w:after="0" w:afterAutospacing="0" w:line="240" w:lineRule="auto"/>
                    <w:contextualSpacing/>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w:t>
                  </w:r>
                </w:p>
              </w:tc>
              <w:tc>
                <w:tcPr>
                  <w:tcW w:w="785" w:type="pct"/>
                  <w:tcBorders>
                    <w:tl2br w:val="nil"/>
                    <w:tr2bl w:val="nil"/>
                  </w:tcBorders>
                  <w:shd w:val="clear" w:color="auto" w:fill="auto"/>
                  <w:vAlign w:val="center"/>
                </w:tcPr>
                <w:p>
                  <w:pPr>
                    <w:pStyle w:val="25"/>
                    <w:keepNext w:val="0"/>
                    <w:keepLines w:val="0"/>
                    <w:pageBreakBefore w:val="0"/>
                    <w:kinsoku/>
                    <w:wordWrap/>
                    <w:overflowPunct/>
                    <w:topLinePunct w:val="0"/>
                    <w:autoSpaceDE/>
                    <w:autoSpaceDN/>
                    <w:bidi w:val="0"/>
                    <w:adjustRightInd/>
                    <w:snapToGrid w:val="0"/>
                    <w:spacing w:before="0" w:beforeAutospacing="0" w:after="0" w:afterAutospacing="0" w:line="240" w:lineRule="auto"/>
                    <w:contextualSpacing/>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临时占地范围内</w:t>
                  </w:r>
                </w:p>
              </w:tc>
              <w:tc>
                <w:tcPr>
                  <w:tcW w:w="1715" w:type="pct"/>
                  <w:tcBorders>
                    <w:tl2br w:val="nil"/>
                    <w:tr2bl w:val="nil"/>
                  </w:tcBorders>
                  <w:shd w:val="clear" w:color="auto" w:fill="auto"/>
                  <w:vAlign w:val="center"/>
                </w:tcPr>
                <w:p>
                  <w:pPr>
                    <w:pStyle w:val="25"/>
                    <w:keepNext w:val="0"/>
                    <w:keepLines w:val="0"/>
                    <w:pageBreakBefore w:val="0"/>
                    <w:kinsoku/>
                    <w:wordWrap/>
                    <w:overflowPunct/>
                    <w:topLinePunct w:val="0"/>
                    <w:autoSpaceDE/>
                    <w:autoSpaceDN/>
                    <w:bidi w:val="0"/>
                    <w:adjustRightInd/>
                    <w:snapToGrid w:val="0"/>
                    <w:spacing w:before="0" w:beforeAutospacing="0" w:after="0" w:afterAutospacing="0" w:line="240" w:lineRule="auto"/>
                    <w:contextualSpacing/>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区域沙化程度不因本项目实施加剧</w:t>
                  </w:r>
                </w:p>
              </w:tc>
            </w:tr>
          </w:tbl>
          <w:p>
            <w:pPr>
              <w:pStyle w:val="2"/>
              <w:rPr>
                <w:rFonts w:hint="default"/>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76" w:type="dxa"/>
            <w:shd w:val="clear" w:color="auto" w:fill="auto"/>
            <w:vAlign w:val="center"/>
          </w:tcPr>
          <w:p>
            <w:pPr>
              <w:pStyle w:val="10"/>
              <w:keepNext w:val="0"/>
              <w:keepLines w:val="0"/>
              <w:pageBreakBefore w:val="0"/>
              <w:kinsoku/>
              <w:wordWrap/>
              <w:overflowPunct/>
              <w:topLinePunct w:val="0"/>
              <w:bidi w:val="0"/>
              <w:spacing w:line="500" w:lineRule="exact"/>
              <w:ind w:firstLine="0" w:firstLineChars="0"/>
              <w:jc w:val="center"/>
              <w:textAlignment w:val="auto"/>
              <w:rPr>
                <w:rFonts w:hint="default" w:ascii="Times New Roman" w:hAnsi="Times New Roman" w:cs="Times New Roman"/>
                <w:b w:val="0"/>
                <w:bCs w:val="0"/>
                <w:color w:val="000000" w:themeColor="text1"/>
                <w:sz w:val="24"/>
                <w14:textFill>
                  <w14:solidFill>
                    <w14:schemeClr w14:val="tx1"/>
                  </w14:solidFill>
                </w14:textFill>
              </w:rPr>
            </w:pPr>
            <w:bookmarkStart w:id="73" w:name="_Hlk136793712"/>
            <w:r>
              <w:rPr>
                <w:rFonts w:hint="default" w:ascii="Times New Roman" w:hAnsi="Times New Roman" w:cs="Times New Roman"/>
                <w:b w:val="0"/>
                <w:bCs w:val="0"/>
                <w:color w:val="000000" w:themeColor="text1"/>
                <w:sz w:val="24"/>
                <w14:textFill>
                  <w14:solidFill>
                    <w14:schemeClr w14:val="tx1"/>
                  </w14:solidFill>
                </w14:textFill>
              </w:rPr>
              <w:t>评价</w:t>
            </w:r>
          </w:p>
          <w:p>
            <w:pPr>
              <w:pStyle w:val="10"/>
              <w:keepNext w:val="0"/>
              <w:keepLines w:val="0"/>
              <w:pageBreakBefore w:val="0"/>
              <w:kinsoku/>
              <w:wordWrap/>
              <w:overflowPunct/>
              <w:topLinePunct w:val="0"/>
              <w:bidi w:val="0"/>
              <w:spacing w:line="500" w:lineRule="exact"/>
              <w:ind w:firstLine="0" w:firstLineChars="0"/>
              <w:jc w:val="center"/>
              <w:textAlignment w:val="auto"/>
              <w:rPr>
                <w:rFonts w:hint="default" w:ascii="Times New Roman" w:hAnsi="Times New Roman" w:eastAsia="宋体" w:cs="Times New Roman"/>
                <w:b w:val="0"/>
                <w:bCs w:val="0"/>
                <w:color w:val="000000" w:themeColor="text1"/>
                <w:kern w:val="0"/>
                <w:sz w:val="24"/>
                <w:szCs w:val="24"/>
                <w:lang w:val="en-US" w:eastAsia="zh-CN" w:bidi="ar-SA"/>
                <w14:textFill>
                  <w14:solidFill>
                    <w14:schemeClr w14:val="tx1"/>
                  </w14:solidFill>
                </w14:textFill>
              </w:rPr>
            </w:pPr>
            <w:r>
              <w:rPr>
                <w:rFonts w:hint="default" w:ascii="Times New Roman" w:hAnsi="Times New Roman" w:cs="Times New Roman"/>
                <w:b w:val="0"/>
                <w:bCs w:val="0"/>
                <w:color w:val="000000" w:themeColor="text1"/>
                <w:sz w:val="24"/>
                <w14:textFill>
                  <w14:solidFill>
                    <w14:schemeClr w14:val="tx1"/>
                  </w14:solidFill>
                </w14:textFill>
              </w:rPr>
              <w:t>标准</w:t>
            </w:r>
          </w:p>
        </w:tc>
        <w:tc>
          <w:tcPr>
            <w:tcW w:w="7646" w:type="dxa"/>
            <w:vAlign w:val="center"/>
          </w:tcPr>
          <w:p>
            <w:pPr>
              <w:pStyle w:val="54"/>
              <w:keepNext w:val="0"/>
              <w:keepLines w:val="0"/>
              <w:pageBreakBefore w:val="0"/>
              <w:widowControl w:val="0"/>
              <w:numPr>
                <w:ilvl w:val="0"/>
                <w:numId w:val="0"/>
              </w:numPr>
              <w:kinsoku/>
              <w:wordWrap/>
              <w:overflowPunct/>
              <w:topLinePunct w:val="0"/>
              <w:bidi w:val="0"/>
              <w:snapToGrid w:val="0"/>
              <w:spacing w:before="0" w:after="0" w:line="460" w:lineRule="exact"/>
              <w:ind w:left="0" w:leftChars="0" w:firstLine="471" w:firstLineChars="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b/>
                <w:color w:val="000000" w:themeColor="text1"/>
                <w:kern w:val="2"/>
                <w:sz w:val="24"/>
                <w:szCs w:val="24"/>
                <w:lang w:val="en-US" w:eastAsia="zh-CN" w:bidi="ar-SA"/>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环境质量标准</w:t>
            </w:r>
          </w:p>
          <w:p>
            <w:pPr>
              <w:pStyle w:val="10"/>
              <w:bidi w:val="0"/>
              <w:rPr>
                <w:rFonts w:hint="eastAsia"/>
                <w:lang w:val="en-US" w:eastAsia="zh-CN"/>
              </w:rPr>
            </w:pPr>
            <w:r>
              <w:rPr>
                <w:rFonts w:hint="default"/>
                <w:lang w:val="en-US" w:eastAsia="zh-CN"/>
              </w:rPr>
              <w:t>环境空气</w:t>
            </w:r>
            <w:r>
              <w:rPr>
                <w:rFonts w:hint="default"/>
              </w:rPr>
              <w:t>基本污染物</w:t>
            </w:r>
            <w:r>
              <w:rPr>
                <w:rFonts w:hint="default"/>
                <w:lang w:val="en-US" w:eastAsia="zh-CN"/>
              </w:rPr>
              <w:t>执行</w:t>
            </w:r>
            <w:r>
              <w:rPr>
                <w:rFonts w:hint="default"/>
              </w:rPr>
              <w:t>《环境空气质量标准》（GB3095-2012）及修改单中二级标准</w:t>
            </w:r>
            <w:r>
              <w:rPr>
                <w:rFonts w:hint="default"/>
                <w:lang w:eastAsia="zh-CN"/>
              </w:rPr>
              <w:t>。</w:t>
            </w:r>
            <w:r>
              <w:rPr>
                <w:rFonts w:hint="eastAsia"/>
                <w:lang w:val="en-US" w:eastAsia="zh-CN"/>
              </w:rPr>
              <w:t>详见下表。</w:t>
            </w:r>
          </w:p>
          <w:p>
            <w:pPr>
              <w:pStyle w:val="10"/>
              <w:bidi w:val="0"/>
              <w:rPr>
                <w:rFonts w:hint="eastAsia"/>
                <w:lang w:val="en-US" w:eastAsia="zh-CN"/>
              </w:rPr>
            </w:pPr>
          </w:p>
          <w:p>
            <w:pPr>
              <w:pStyle w:val="10"/>
              <w:bidi w:val="0"/>
              <w:rPr>
                <w:rFonts w:hint="default"/>
                <w:lang w:val="en-US" w:eastAsia="zh-CN"/>
              </w:rPr>
            </w:pPr>
          </w:p>
          <w:p>
            <w:pPr>
              <w:pStyle w:val="56"/>
              <w:keepNext w:val="0"/>
              <w:keepLines w:val="0"/>
              <w:pageBreakBefore w:val="0"/>
              <w:kinsoku/>
              <w:wordWrap/>
              <w:overflowPunct/>
              <w:topLinePunct w:val="0"/>
              <w:bidi w:val="0"/>
              <w:spacing w:line="500" w:lineRule="exact"/>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w:t>
            </w:r>
            <w:r>
              <w:rPr>
                <w:rFonts w:hint="default" w:ascii="Times New Roman" w:hAnsi="Times New Roman" w:cs="Times New Roman"/>
                <w:color w:val="000000" w:themeColor="text1"/>
                <w:lang w:val="en-US" w:eastAsia="zh-CN"/>
                <w14:textFill>
                  <w14:solidFill>
                    <w14:schemeClr w14:val="tx1"/>
                  </w14:solidFill>
                </w14:textFill>
              </w:rPr>
              <w:t>3-</w:t>
            </w:r>
            <w:r>
              <w:rPr>
                <w:rFonts w:hint="eastAsia" w:ascii="Times New Roman" w:hAnsi="Times New Roman"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lang w:val="en-US" w:eastAsia="zh-CN"/>
                <w14:textFill>
                  <w14:solidFill>
                    <w14:schemeClr w14:val="tx1"/>
                  </w14:solidFill>
                </w14:textFill>
              </w:rPr>
              <w:t xml:space="preserve">  环境空气质量标准</w:t>
            </w:r>
          </w:p>
          <w:tbl>
            <w:tblPr>
              <w:tblStyle w:val="2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79"/>
              <w:gridCol w:w="2922"/>
              <w:gridCol w:w="332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3" w:type="pct"/>
                  <w:tcBorders>
                    <w:tl2br w:val="nil"/>
                    <w:tr2bl w:val="nil"/>
                  </w:tcBorders>
                  <w:vAlign w:val="center"/>
                </w:tcPr>
                <w:p>
                  <w:pPr>
                    <w:pStyle w:val="35"/>
                    <w:bidi w:val="0"/>
                    <w:spacing w:line="240" w:lineRule="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lang w:val="en-US" w:eastAsia="zh-CN"/>
                    </w:rPr>
                    <w:t>序号</w:t>
                  </w:r>
                </w:p>
              </w:tc>
              <w:tc>
                <w:tcPr>
                  <w:tcW w:w="1966" w:type="pct"/>
                  <w:tcBorders>
                    <w:tl2br w:val="nil"/>
                    <w:tr2bl w:val="nil"/>
                  </w:tcBorders>
                  <w:vAlign w:val="center"/>
                </w:tcPr>
                <w:p>
                  <w:pPr>
                    <w:pStyle w:val="35"/>
                    <w:bidi w:val="0"/>
                    <w:spacing w:line="240" w:lineRule="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lang w:val="en-US" w:eastAsia="zh-CN"/>
                    </w:rPr>
                    <w:t>污染物项目</w:t>
                  </w:r>
                </w:p>
              </w:tc>
              <w:tc>
                <w:tcPr>
                  <w:tcW w:w="2240" w:type="pct"/>
                  <w:tcBorders>
                    <w:tl2br w:val="nil"/>
                    <w:tr2bl w:val="nil"/>
                  </w:tcBorders>
                  <w:vAlign w:val="center"/>
                </w:tcPr>
                <w:p>
                  <w:pPr>
                    <w:pStyle w:val="35"/>
                    <w:bidi w:val="0"/>
                    <w:spacing w:line="240" w:lineRule="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lang w:val="en-US" w:eastAsia="zh-CN"/>
                    </w:rPr>
                    <w:t>浓度限值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3" w:type="pct"/>
                  <w:tcBorders>
                    <w:tl2br w:val="nil"/>
                    <w:tr2bl w:val="nil"/>
                  </w:tcBorders>
                  <w:vAlign w:val="center"/>
                </w:tcPr>
                <w:p>
                  <w:pPr>
                    <w:pStyle w:val="35"/>
                    <w:bidi w:val="0"/>
                    <w:spacing w:line="240" w:lineRule="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lang w:val="en-US" w:eastAsia="zh-CN"/>
                    </w:rPr>
                    <w:t>1</w:t>
                  </w:r>
                </w:p>
              </w:tc>
              <w:tc>
                <w:tcPr>
                  <w:tcW w:w="1966" w:type="pct"/>
                  <w:tcBorders>
                    <w:tl2br w:val="nil"/>
                    <w:tr2bl w:val="nil"/>
                  </w:tcBorders>
                  <w:vAlign w:val="center"/>
                </w:tcPr>
                <w:p>
                  <w:pPr>
                    <w:pStyle w:val="35"/>
                    <w:bidi w:val="0"/>
                    <w:spacing w:line="240" w:lineRule="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lang w:val="en-US" w:eastAsia="zh-CN"/>
                    </w:rPr>
                    <w:t>二氧化硫</w:t>
                  </w:r>
                </w:p>
              </w:tc>
              <w:tc>
                <w:tcPr>
                  <w:tcW w:w="2240" w:type="pct"/>
                  <w:tcBorders>
                    <w:tl2br w:val="nil"/>
                    <w:tr2bl w:val="nil"/>
                  </w:tcBorders>
                  <w:vAlign w:val="center"/>
                </w:tcPr>
                <w:p>
                  <w:pPr>
                    <w:pStyle w:val="35"/>
                    <w:bidi w:val="0"/>
                    <w:spacing w:line="240" w:lineRule="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lang w:val="en-US" w:eastAsia="zh-CN"/>
                    </w:rPr>
                    <w:t>年平均 二级60μg/m</w:t>
                  </w:r>
                  <w:r>
                    <w:rPr>
                      <w:rFonts w:hint="default"/>
                      <w:vertAlign w:val="superscript"/>
                      <w:lang w:val="en-US" w:eastAsia="zh-CN"/>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3" w:type="pct"/>
                  <w:tcBorders>
                    <w:tl2br w:val="nil"/>
                    <w:tr2bl w:val="nil"/>
                  </w:tcBorders>
                  <w:vAlign w:val="center"/>
                </w:tcPr>
                <w:p>
                  <w:pPr>
                    <w:pStyle w:val="35"/>
                    <w:bidi w:val="0"/>
                    <w:spacing w:line="240" w:lineRule="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lang w:val="en-US" w:eastAsia="zh-CN"/>
                    </w:rPr>
                    <w:t>2</w:t>
                  </w:r>
                </w:p>
              </w:tc>
              <w:tc>
                <w:tcPr>
                  <w:tcW w:w="1966" w:type="pct"/>
                  <w:tcBorders>
                    <w:tl2br w:val="nil"/>
                    <w:tr2bl w:val="nil"/>
                  </w:tcBorders>
                  <w:vAlign w:val="center"/>
                </w:tcPr>
                <w:p>
                  <w:pPr>
                    <w:pStyle w:val="35"/>
                    <w:bidi w:val="0"/>
                    <w:spacing w:line="240" w:lineRule="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lang w:val="en-US" w:eastAsia="zh-CN"/>
                    </w:rPr>
                    <w:t>二氧化氮</w:t>
                  </w:r>
                </w:p>
              </w:tc>
              <w:tc>
                <w:tcPr>
                  <w:tcW w:w="2240" w:type="pct"/>
                  <w:tcBorders>
                    <w:tl2br w:val="nil"/>
                    <w:tr2bl w:val="nil"/>
                  </w:tcBorders>
                  <w:vAlign w:val="center"/>
                </w:tcPr>
                <w:p>
                  <w:pPr>
                    <w:pStyle w:val="35"/>
                    <w:bidi w:val="0"/>
                    <w:spacing w:line="240" w:lineRule="auto"/>
                    <w:rPr>
                      <w:rFonts w:hint="default" w:ascii="Times New Roman" w:hAnsi="Times New Roman" w:eastAsia="宋体" w:cs="Times New Roman"/>
                      <w:color w:val="000000" w:themeColor="text1"/>
                      <w:szCs w:val="21"/>
                      <w14:textFill>
                        <w14:solidFill>
                          <w14:schemeClr w14:val="tx1"/>
                        </w14:solidFill>
                      </w14:textFill>
                    </w:rPr>
                  </w:pPr>
                  <w:r>
                    <w:rPr>
                      <w:rFonts w:hint="default"/>
                      <w:lang w:val="en-US" w:eastAsia="zh-CN"/>
                    </w:rPr>
                    <w:t>年平均 二级40μg/m</w:t>
                  </w:r>
                  <w:r>
                    <w:rPr>
                      <w:rFonts w:hint="default"/>
                      <w:vertAlign w:val="superscript"/>
                      <w:lang w:val="en-US" w:eastAsia="zh-CN"/>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3" w:type="pct"/>
                  <w:tcBorders>
                    <w:tl2br w:val="nil"/>
                    <w:tr2bl w:val="nil"/>
                  </w:tcBorders>
                  <w:vAlign w:val="center"/>
                </w:tcPr>
                <w:p>
                  <w:pPr>
                    <w:pStyle w:val="35"/>
                    <w:bidi w:val="0"/>
                    <w:spacing w:line="240" w:lineRule="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lang w:val="en-US" w:eastAsia="zh-CN"/>
                    </w:rPr>
                    <w:t>3</w:t>
                  </w:r>
                </w:p>
              </w:tc>
              <w:tc>
                <w:tcPr>
                  <w:tcW w:w="1966" w:type="pct"/>
                  <w:tcBorders>
                    <w:tl2br w:val="nil"/>
                    <w:tr2bl w:val="nil"/>
                  </w:tcBorders>
                  <w:vAlign w:val="center"/>
                </w:tcPr>
                <w:p>
                  <w:pPr>
                    <w:pStyle w:val="35"/>
                    <w:bidi w:val="0"/>
                    <w:spacing w:line="240" w:lineRule="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lang w:val="en-US" w:eastAsia="zh-CN"/>
                    </w:rPr>
                    <w:t>一氧化碳</w:t>
                  </w:r>
                </w:p>
              </w:tc>
              <w:tc>
                <w:tcPr>
                  <w:tcW w:w="2240" w:type="pct"/>
                  <w:tcBorders>
                    <w:tl2br w:val="nil"/>
                    <w:tr2bl w:val="nil"/>
                  </w:tcBorders>
                  <w:vAlign w:val="center"/>
                </w:tcPr>
                <w:p>
                  <w:pPr>
                    <w:pStyle w:val="35"/>
                    <w:bidi w:val="0"/>
                    <w:spacing w:line="240" w:lineRule="auto"/>
                    <w:rPr>
                      <w:rFonts w:hint="default" w:ascii="Times New Roman" w:hAnsi="Times New Roman" w:eastAsia="宋体" w:cs="Times New Roman"/>
                      <w:color w:val="000000" w:themeColor="text1"/>
                      <w:szCs w:val="21"/>
                      <w14:textFill>
                        <w14:solidFill>
                          <w14:schemeClr w14:val="tx1"/>
                        </w14:solidFill>
                      </w14:textFill>
                    </w:rPr>
                  </w:pPr>
                  <w:r>
                    <w:rPr>
                      <w:rFonts w:hint="default"/>
                      <w:lang w:val="en-US" w:eastAsia="zh-CN"/>
                    </w:rPr>
                    <w:t>24小时平均 二级4mg/m</w:t>
                  </w:r>
                  <w:r>
                    <w:rPr>
                      <w:rFonts w:hint="default"/>
                      <w:vertAlign w:val="superscript"/>
                      <w:lang w:val="en-US" w:eastAsia="zh-CN"/>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3" w:type="pct"/>
                  <w:tcBorders>
                    <w:tl2br w:val="nil"/>
                    <w:tr2bl w:val="nil"/>
                  </w:tcBorders>
                  <w:vAlign w:val="center"/>
                </w:tcPr>
                <w:p>
                  <w:pPr>
                    <w:pStyle w:val="35"/>
                    <w:bidi w:val="0"/>
                    <w:spacing w:line="240" w:lineRule="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lang w:val="en-US" w:eastAsia="zh-CN"/>
                    </w:rPr>
                    <w:t>4</w:t>
                  </w:r>
                </w:p>
              </w:tc>
              <w:tc>
                <w:tcPr>
                  <w:tcW w:w="1966" w:type="pct"/>
                  <w:tcBorders>
                    <w:tl2br w:val="nil"/>
                    <w:tr2bl w:val="nil"/>
                  </w:tcBorders>
                  <w:vAlign w:val="center"/>
                </w:tcPr>
                <w:p>
                  <w:pPr>
                    <w:pStyle w:val="35"/>
                    <w:bidi w:val="0"/>
                    <w:spacing w:line="240" w:lineRule="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lang w:val="en-US" w:eastAsia="zh-CN"/>
                    </w:rPr>
                    <w:t>臭氧</w:t>
                  </w:r>
                </w:p>
              </w:tc>
              <w:tc>
                <w:tcPr>
                  <w:tcW w:w="2240" w:type="pct"/>
                  <w:tcBorders>
                    <w:tl2br w:val="nil"/>
                    <w:tr2bl w:val="nil"/>
                  </w:tcBorders>
                  <w:vAlign w:val="center"/>
                </w:tcPr>
                <w:p>
                  <w:pPr>
                    <w:pStyle w:val="35"/>
                    <w:bidi w:val="0"/>
                    <w:spacing w:line="240" w:lineRule="auto"/>
                    <w:rPr>
                      <w:rFonts w:hint="default" w:ascii="Times New Roman" w:hAnsi="Times New Roman" w:eastAsia="宋体" w:cs="Times New Roman"/>
                      <w:color w:val="000000" w:themeColor="text1"/>
                      <w:szCs w:val="21"/>
                      <w14:textFill>
                        <w14:solidFill>
                          <w14:schemeClr w14:val="tx1"/>
                        </w14:solidFill>
                      </w14:textFill>
                    </w:rPr>
                  </w:pPr>
                  <w:r>
                    <w:rPr>
                      <w:rFonts w:hint="default"/>
                      <w:lang w:val="en-US" w:eastAsia="zh-CN"/>
                    </w:rPr>
                    <w:t>日最大8小时平均 二级160μg/m</w:t>
                  </w:r>
                  <w:r>
                    <w:rPr>
                      <w:rFonts w:hint="default"/>
                      <w:vertAlign w:val="superscript"/>
                      <w:lang w:val="en-US" w:eastAsia="zh-CN"/>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3" w:type="pct"/>
                  <w:tcBorders>
                    <w:tl2br w:val="nil"/>
                    <w:tr2bl w:val="nil"/>
                  </w:tcBorders>
                  <w:vAlign w:val="center"/>
                </w:tcPr>
                <w:p>
                  <w:pPr>
                    <w:pStyle w:val="35"/>
                    <w:bidi w:val="0"/>
                    <w:spacing w:line="240" w:lineRule="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lang w:val="en-US" w:eastAsia="zh-CN"/>
                    </w:rPr>
                    <w:t>5</w:t>
                  </w:r>
                </w:p>
              </w:tc>
              <w:tc>
                <w:tcPr>
                  <w:tcW w:w="1966" w:type="pct"/>
                  <w:tcBorders>
                    <w:tl2br w:val="nil"/>
                    <w:tr2bl w:val="nil"/>
                  </w:tcBorders>
                  <w:vAlign w:val="center"/>
                </w:tcPr>
                <w:p>
                  <w:pPr>
                    <w:pStyle w:val="35"/>
                    <w:bidi w:val="0"/>
                    <w:spacing w:line="240" w:lineRule="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lang w:val="en-US" w:eastAsia="zh-CN"/>
                    </w:rPr>
                    <w:t>颗粒物（粒径小于等于10μm）</w:t>
                  </w:r>
                </w:p>
              </w:tc>
              <w:tc>
                <w:tcPr>
                  <w:tcW w:w="3329" w:type="dxa"/>
                  <w:tcBorders>
                    <w:tl2br w:val="nil"/>
                    <w:tr2bl w:val="nil"/>
                  </w:tcBorders>
                  <w:vAlign w:val="center"/>
                </w:tcPr>
                <w:p>
                  <w:pPr>
                    <w:pStyle w:val="35"/>
                    <w:bidi w:val="0"/>
                    <w:spacing w:line="240" w:lineRule="auto"/>
                    <w:rPr>
                      <w:rFonts w:hint="default" w:ascii="Times New Roman" w:hAnsi="Times New Roman" w:eastAsia="宋体" w:cs="Times New Roman"/>
                      <w:color w:val="000000" w:themeColor="text1"/>
                      <w:szCs w:val="21"/>
                      <w14:textFill>
                        <w14:solidFill>
                          <w14:schemeClr w14:val="tx1"/>
                        </w14:solidFill>
                      </w14:textFill>
                    </w:rPr>
                  </w:pPr>
                  <w:r>
                    <w:rPr>
                      <w:rFonts w:hint="default"/>
                      <w:lang w:val="en-US" w:eastAsia="zh-CN"/>
                    </w:rPr>
                    <w:t>年平均 二级70μg/m</w:t>
                  </w:r>
                  <w:r>
                    <w:rPr>
                      <w:rFonts w:hint="default"/>
                      <w:vertAlign w:val="superscript"/>
                      <w:lang w:val="en-US" w:eastAsia="zh-CN"/>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3" w:type="pct"/>
                  <w:tcBorders>
                    <w:tl2br w:val="nil"/>
                    <w:tr2bl w:val="nil"/>
                  </w:tcBorders>
                  <w:vAlign w:val="center"/>
                </w:tcPr>
                <w:p>
                  <w:pPr>
                    <w:pStyle w:val="35"/>
                    <w:bidi w:val="0"/>
                    <w:spacing w:line="240" w:lineRule="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lang w:val="en-US" w:eastAsia="zh-CN"/>
                    </w:rPr>
                    <w:t>6</w:t>
                  </w:r>
                </w:p>
              </w:tc>
              <w:tc>
                <w:tcPr>
                  <w:tcW w:w="1966" w:type="pct"/>
                  <w:tcBorders>
                    <w:tl2br w:val="nil"/>
                    <w:tr2bl w:val="nil"/>
                  </w:tcBorders>
                  <w:shd w:val="clear" w:color="auto" w:fill="auto"/>
                  <w:vAlign w:val="center"/>
                </w:tcPr>
                <w:p>
                  <w:pPr>
                    <w:pStyle w:val="35"/>
                    <w:bidi w:val="0"/>
                    <w:spacing w:line="240" w:lineRule="auto"/>
                    <w:rPr>
                      <w:rFonts w:hint="default" w:ascii="Times New Roman" w:hAnsi="Times New Roman" w:eastAsia="宋体" w:cs="Times New Roman"/>
                      <w:color w:val="000000" w:themeColor="text1"/>
                      <w:kern w:val="0"/>
                      <w:szCs w:val="21"/>
                      <w:lang w:val="en-US" w:eastAsia="zh-CN" w:bidi="ar-SA"/>
                      <w14:textFill>
                        <w14:solidFill>
                          <w14:schemeClr w14:val="tx1"/>
                        </w14:solidFill>
                      </w14:textFill>
                    </w:rPr>
                  </w:pPr>
                  <w:r>
                    <w:rPr>
                      <w:rFonts w:hint="default"/>
                      <w:lang w:val="en-US" w:eastAsia="zh-CN"/>
                    </w:rPr>
                    <w:t>颗粒物（粒径小于等于2.5μm）</w:t>
                  </w:r>
                </w:p>
              </w:tc>
              <w:tc>
                <w:tcPr>
                  <w:tcW w:w="3329" w:type="dxa"/>
                  <w:tcBorders>
                    <w:tl2br w:val="nil"/>
                    <w:tr2bl w:val="nil"/>
                  </w:tcBorders>
                  <w:vAlign w:val="center"/>
                </w:tcPr>
                <w:p>
                  <w:pPr>
                    <w:pStyle w:val="35"/>
                    <w:bidi w:val="0"/>
                    <w:spacing w:line="240" w:lineRule="auto"/>
                    <w:rPr>
                      <w:rFonts w:hint="default" w:ascii="Times New Roman" w:hAnsi="Times New Roman" w:eastAsia="宋体" w:cs="Times New Roman"/>
                      <w:color w:val="000000" w:themeColor="text1"/>
                      <w:szCs w:val="21"/>
                      <w14:textFill>
                        <w14:solidFill>
                          <w14:schemeClr w14:val="tx1"/>
                        </w14:solidFill>
                      </w14:textFill>
                    </w:rPr>
                  </w:pPr>
                  <w:r>
                    <w:rPr>
                      <w:rFonts w:hint="default"/>
                      <w:lang w:val="en-US" w:eastAsia="zh-CN"/>
                    </w:rPr>
                    <w:t>年平均 二级35μg/m</w:t>
                  </w:r>
                  <w:r>
                    <w:rPr>
                      <w:rFonts w:hint="default"/>
                      <w:vertAlign w:val="superscript"/>
                      <w:lang w:val="en-US" w:eastAsia="zh-CN"/>
                    </w:rPr>
                    <w:t>3</w:t>
                  </w:r>
                </w:p>
              </w:tc>
            </w:tr>
          </w:tbl>
          <w:p>
            <w:pPr>
              <w:pStyle w:val="54"/>
              <w:keepNext w:val="0"/>
              <w:keepLines w:val="0"/>
              <w:pageBreakBefore w:val="0"/>
              <w:widowControl w:val="0"/>
              <w:numPr>
                <w:ilvl w:val="0"/>
                <w:numId w:val="0"/>
              </w:numPr>
              <w:kinsoku/>
              <w:wordWrap/>
              <w:overflowPunct/>
              <w:topLinePunct w:val="0"/>
              <w:bidi w:val="0"/>
              <w:snapToGrid w:val="0"/>
              <w:spacing w:before="0" w:after="0" w:line="460" w:lineRule="exact"/>
              <w:ind w:left="0" w:leftChars="0" w:firstLine="471" w:firstLineChars="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b/>
                <w:color w:val="000000" w:themeColor="text1"/>
                <w:kern w:val="2"/>
                <w:sz w:val="24"/>
                <w:szCs w:val="24"/>
                <w:lang w:val="en-US" w:eastAsia="zh-CN" w:bidi="ar-SA"/>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污染物排放标准</w:t>
            </w:r>
          </w:p>
          <w:p>
            <w:pPr>
              <w:pStyle w:val="55"/>
              <w:keepNext w:val="0"/>
              <w:keepLines w:val="0"/>
              <w:pageBreakBefore w:val="0"/>
              <w:widowControl w:val="0"/>
              <w:numPr>
                <w:ilvl w:val="1"/>
                <w:numId w:val="0"/>
              </w:numPr>
              <w:kinsoku/>
              <w:wordWrap/>
              <w:overflowPunct/>
              <w:topLinePunct w:val="0"/>
              <w:bidi w:val="0"/>
              <w:snapToGrid w:val="0"/>
              <w:spacing w:line="460" w:lineRule="exact"/>
              <w:ind w:left="0" w:leftChars="0" w:firstLine="48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宋体" w:hAnsi="宋体" w:eastAsia="宋体" w:cs="宋体"/>
                <w:color w:val="000000" w:themeColor="text1"/>
                <w:kern w:val="2"/>
                <w:sz w:val="24"/>
                <w:szCs w:val="24"/>
                <w:lang w:val="en-US" w:eastAsia="en-US" w:bidi="ar-SA"/>
                <w14:textFill>
                  <w14:solidFill>
                    <w14:schemeClr w14:val="tx1"/>
                  </w14:solidFill>
                </w14:textFill>
              </w:rPr>
              <w:t>（1）</w:t>
            </w:r>
            <w:r>
              <w:rPr>
                <w:rFonts w:hint="default" w:ascii="Times New Roman" w:hAnsi="Times New Roman" w:cs="Times New Roman"/>
                <w:color w:val="000000" w:themeColor="text1"/>
                <w:lang w:val="en-US" w:eastAsia="zh-CN"/>
                <w14:textFill>
                  <w14:solidFill>
                    <w14:schemeClr w14:val="tx1"/>
                  </w14:solidFill>
                </w14:textFill>
              </w:rPr>
              <w:t>废气</w:t>
            </w:r>
          </w:p>
          <w:p>
            <w:pPr>
              <w:pStyle w:val="10"/>
              <w:bidi w:val="0"/>
              <w:rPr>
                <w:rFonts w:hint="default"/>
                <w:lang w:eastAsia="zh-CN"/>
              </w:rPr>
            </w:pPr>
            <w:r>
              <w:rPr>
                <w:rFonts w:hint="default"/>
              </w:rPr>
              <w:t>①</w:t>
            </w:r>
            <w:r>
              <w:rPr>
                <w:rFonts w:hint="default"/>
                <w:lang w:val="en-US" w:eastAsia="zh-CN"/>
              </w:rPr>
              <w:t>扬尘执行</w:t>
            </w:r>
            <w:r>
              <w:rPr>
                <w:rFonts w:hint="default"/>
              </w:rPr>
              <w:t>《大气污染物综合排放标准》（GB16297-1996）周界外浓度最高点限值，</w:t>
            </w:r>
            <w:r>
              <w:rPr>
                <w:rFonts w:hint="eastAsia"/>
                <w:lang w:val="en-US" w:eastAsia="zh-CN"/>
              </w:rPr>
              <w:t>颗粒物≤1</w:t>
            </w:r>
            <w:r>
              <w:rPr>
                <w:rFonts w:hint="default"/>
              </w:rPr>
              <w:t>.0mg/m³</w:t>
            </w:r>
            <w:r>
              <w:rPr>
                <w:rFonts w:hint="default"/>
                <w:lang w:eastAsia="zh-CN"/>
              </w:rPr>
              <w:t>；</w:t>
            </w:r>
          </w:p>
          <w:p>
            <w:pPr>
              <w:pStyle w:val="10"/>
              <w:bidi w:val="0"/>
              <w:rPr>
                <w:rFonts w:hint="default"/>
                <w:lang w:val="en-US" w:eastAsia="zh-CN"/>
              </w:rPr>
            </w:pPr>
            <w:r>
              <w:rPr>
                <w:rFonts w:hint="default"/>
              </w:rPr>
              <w:t>②试油期无组织排放非甲烷总烃参照《陆上石油天然气开采工业大气污染物排放标准》（GB39728-2020）限值</w:t>
            </w:r>
            <w:r>
              <w:rPr>
                <w:rFonts w:hint="eastAsia"/>
                <w:lang w:eastAsia="zh-CN"/>
              </w:rPr>
              <w:t>，</w:t>
            </w:r>
            <w:r>
              <w:rPr>
                <w:rFonts w:hint="eastAsia"/>
                <w:lang w:val="en-US" w:eastAsia="zh-CN"/>
              </w:rPr>
              <w:t>非甲烷总烃≤4.0</w:t>
            </w:r>
            <w:r>
              <w:rPr>
                <w:rFonts w:hint="default"/>
              </w:rPr>
              <w:t>mg/m³</w:t>
            </w:r>
            <w:r>
              <w:rPr>
                <w:rFonts w:hint="default"/>
                <w:lang w:eastAsia="zh-CN"/>
              </w:rPr>
              <w:t>；硫化氢排放浓度应满足《恶臭污染物排放标准》（GB14554-93）表1二级新改扩建浓度要求</w:t>
            </w:r>
            <w:r>
              <w:rPr>
                <w:rFonts w:hint="eastAsia"/>
                <w:lang w:eastAsia="zh-CN"/>
              </w:rPr>
              <w:t>，</w:t>
            </w:r>
            <w:r>
              <w:rPr>
                <w:rFonts w:hint="eastAsia"/>
                <w:lang w:val="en-US" w:eastAsia="zh-CN"/>
              </w:rPr>
              <w:t>≤0.06</w:t>
            </w:r>
            <w:r>
              <w:rPr>
                <w:rFonts w:hint="default"/>
              </w:rPr>
              <w:t>mg/m³</w:t>
            </w:r>
            <w:r>
              <w:rPr>
                <w:rFonts w:hint="default"/>
                <w:lang w:eastAsia="zh-CN"/>
              </w:rPr>
              <w:t>；</w:t>
            </w:r>
          </w:p>
          <w:p>
            <w:pPr>
              <w:pStyle w:val="10"/>
              <w:bidi w:val="0"/>
              <w:rPr>
                <w:rFonts w:hint="default"/>
              </w:rPr>
            </w:pPr>
            <w:r>
              <w:rPr>
                <w:rFonts w:hint="default"/>
              </w:rPr>
              <w:t>③</w:t>
            </w:r>
            <w:r>
              <w:rPr>
                <w:rFonts w:hint="default"/>
                <w:lang w:val="en-US" w:eastAsia="zh-CN"/>
              </w:rPr>
              <w:t>车辆尾气、柴油机、发电机排放废气、</w:t>
            </w:r>
            <w:r>
              <w:rPr>
                <w:rFonts w:hint="default"/>
              </w:rPr>
              <w:t>伴生气燃烧</w:t>
            </w:r>
            <w:r>
              <w:rPr>
                <w:rFonts w:hint="default"/>
                <w:lang w:val="en-US" w:eastAsia="zh-CN"/>
              </w:rPr>
              <w:t>废气</w:t>
            </w:r>
            <w:r>
              <w:rPr>
                <w:rFonts w:hint="default"/>
              </w:rPr>
              <w:t>执行《</w:t>
            </w:r>
            <w:bookmarkStart w:id="74" w:name="OLE_LINK41"/>
            <w:r>
              <w:rPr>
                <w:rFonts w:hint="default"/>
              </w:rPr>
              <w:t>大气污染物综合排放标准</w:t>
            </w:r>
            <w:bookmarkEnd w:id="74"/>
            <w:r>
              <w:rPr>
                <w:rFonts w:hint="default"/>
              </w:rPr>
              <w:t>》（GB16297-1996）</w:t>
            </w:r>
            <w:r>
              <w:rPr>
                <w:rFonts w:hint="eastAsia"/>
                <w:lang w:val="en-US" w:eastAsia="zh-CN"/>
              </w:rPr>
              <w:t>厂界无组织排放限值，二氧化硫≤0.40</w:t>
            </w:r>
            <w:r>
              <w:rPr>
                <w:rFonts w:hint="default"/>
              </w:rPr>
              <w:t>mg/m³</w:t>
            </w:r>
            <w:r>
              <w:rPr>
                <w:rFonts w:hint="eastAsia"/>
                <w:lang w:eastAsia="zh-CN"/>
              </w:rPr>
              <w:t>、</w:t>
            </w:r>
            <w:r>
              <w:rPr>
                <w:rFonts w:hint="eastAsia"/>
                <w:lang w:val="en-US" w:eastAsia="zh-CN"/>
              </w:rPr>
              <w:t>氮氧化物≤0.12</w:t>
            </w:r>
            <w:r>
              <w:rPr>
                <w:rFonts w:hint="default"/>
              </w:rPr>
              <w:t>mg/m³</w:t>
            </w:r>
            <w:r>
              <w:rPr>
                <w:rFonts w:hint="eastAsia"/>
                <w:lang w:val="en-US" w:eastAsia="zh-CN"/>
              </w:rPr>
              <w:t>、颗粒物≤1.0</w:t>
            </w:r>
            <w:r>
              <w:rPr>
                <w:rFonts w:hint="default"/>
              </w:rPr>
              <w:t>mg/m³</w:t>
            </w:r>
            <w:r>
              <w:rPr>
                <w:rFonts w:hint="default"/>
                <w:lang w:val="en-US" w:eastAsia="zh-CN"/>
              </w:rPr>
              <w:t>。</w:t>
            </w:r>
          </w:p>
          <w:p>
            <w:pPr>
              <w:pStyle w:val="55"/>
              <w:keepNext w:val="0"/>
              <w:keepLines w:val="0"/>
              <w:pageBreakBefore w:val="0"/>
              <w:widowControl w:val="0"/>
              <w:numPr>
                <w:ilvl w:val="1"/>
                <w:numId w:val="0"/>
              </w:numPr>
              <w:kinsoku/>
              <w:wordWrap/>
              <w:overflowPunct/>
              <w:topLinePunct w:val="0"/>
              <w:bidi w:val="0"/>
              <w:snapToGrid w:val="0"/>
              <w:spacing w:line="460" w:lineRule="exact"/>
              <w:ind w:left="0" w:leftChars="0" w:firstLine="480" w:firstLineChars="20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宋体" w:hAnsi="宋体" w:eastAsia="宋体" w:cs="宋体"/>
                <w:color w:val="000000" w:themeColor="text1"/>
                <w:kern w:val="2"/>
                <w:sz w:val="24"/>
                <w:szCs w:val="24"/>
                <w:lang w:val="en-US" w:eastAsia="zh-CN" w:bidi="ar-SA"/>
                <w14:textFill>
                  <w14:solidFill>
                    <w14:schemeClr w14:val="tx1"/>
                  </w14:solidFill>
                </w14:textFill>
              </w:rPr>
              <w:t>（2）</w:t>
            </w:r>
            <w:r>
              <w:rPr>
                <w:rFonts w:hint="default" w:ascii="Times New Roman" w:hAnsi="Times New Roman" w:cs="Times New Roman"/>
                <w:color w:val="000000" w:themeColor="text1"/>
                <w:lang w:val="en-US" w:eastAsia="zh-CN"/>
                <w14:textFill>
                  <w14:solidFill>
                    <w14:schemeClr w14:val="tx1"/>
                  </w14:solidFill>
                </w14:textFill>
              </w:rPr>
              <w:t>噪声</w:t>
            </w:r>
          </w:p>
          <w:p>
            <w:pPr>
              <w:pStyle w:val="10"/>
              <w:bidi w:val="0"/>
              <w:rPr>
                <w:rFonts w:hint="default"/>
              </w:rPr>
            </w:pPr>
            <w:r>
              <w:rPr>
                <w:rFonts w:hint="default"/>
              </w:rPr>
              <w:t>施工期噪声执行《建筑施工场界环境噪声排放标准》（GB12523-2011）</w:t>
            </w:r>
            <w:r>
              <w:rPr>
                <w:rFonts w:hint="eastAsia"/>
                <w:lang w:eastAsia="zh-CN"/>
              </w:rPr>
              <w:t>，</w:t>
            </w:r>
            <w:r>
              <w:rPr>
                <w:rFonts w:hint="eastAsia"/>
                <w:lang w:val="en-US" w:eastAsia="zh-CN"/>
              </w:rPr>
              <w:t>昼间70dB（A），夜间55dB（A）。</w:t>
            </w:r>
          </w:p>
          <w:p>
            <w:pPr>
              <w:pStyle w:val="55"/>
              <w:keepNext w:val="0"/>
              <w:keepLines w:val="0"/>
              <w:pageBreakBefore w:val="0"/>
              <w:widowControl w:val="0"/>
              <w:numPr>
                <w:ilvl w:val="1"/>
                <w:numId w:val="0"/>
              </w:numPr>
              <w:kinsoku/>
              <w:wordWrap/>
              <w:overflowPunct/>
              <w:topLinePunct w:val="0"/>
              <w:bidi w:val="0"/>
              <w:snapToGrid w:val="0"/>
              <w:spacing w:line="460" w:lineRule="exact"/>
              <w:ind w:left="0" w:leftChars="0" w:firstLine="480" w:firstLineChars="20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宋体" w:hAnsi="宋体" w:eastAsia="宋体" w:cs="宋体"/>
                <w:color w:val="000000" w:themeColor="text1"/>
                <w:kern w:val="2"/>
                <w:sz w:val="24"/>
                <w:szCs w:val="24"/>
                <w:lang w:val="en-US" w:eastAsia="zh-CN" w:bidi="ar-SA"/>
                <w14:textFill>
                  <w14:solidFill>
                    <w14:schemeClr w14:val="tx1"/>
                  </w14:solidFill>
                </w14:textFill>
              </w:rPr>
              <w:t>（3）</w:t>
            </w:r>
            <w:r>
              <w:rPr>
                <w:rFonts w:hint="default" w:ascii="Times New Roman" w:hAnsi="Times New Roman" w:cs="Times New Roman"/>
                <w:color w:val="000000" w:themeColor="text1"/>
                <w:lang w:val="en-US" w:eastAsia="zh-CN"/>
                <w14:textFill>
                  <w14:solidFill>
                    <w14:schemeClr w14:val="tx1"/>
                  </w14:solidFill>
                </w14:textFill>
              </w:rPr>
              <w:t>固体废物</w:t>
            </w:r>
          </w:p>
          <w:p>
            <w:pPr>
              <w:pStyle w:val="10"/>
              <w:bidi w:val="0"/>
              <w:rPr>
                <w:rFonts w:hint="default"/>
              </w:rPr>
            </w:pPr>
            <w:r>
              <w:rPr>
                <w:rFonts w:hint="default"/>
              </w:rPr>
              <w:t>①一般工业固废执行《一般工业固体废物贮存和填埋污染控制标准》（GB18599-2020）；</w:t>
            </w:r>
          </w:p>
          <w:p>
            <w:pPr>
              <w:pStyle w:val="10"/>
              <w:bidi w:val="0"/>
              <w:rPr>
                <w:rFonts w:hint="default"/>
                <w:lang w:val="en-US" w:eastAsia="zh-CN"/>
              </w:rPr>
            </w:pPr>
            <w:r>
              <w:rPr>
                <w:rFonts w:hint="default"/>
              </w:rPr>
              <w:t>②危险废物贮存执行《危险废物贮存污染控制标准》（GB18597-2023）</w:t>
            </w:r>
            <w:r>
              <w:rPr>
                <w:rFonts w:hint="default"/>
                <w:lang w:eastAsia="zh-CN"/>
              </w:rPr>
              <w:t>。</w:t>
            </w:r>
          </w:p>
        </w:tc>
      </w:tr>
      <w:bookmarkEnd w:id="7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9" w:hRule="atLeast"/>
        </w:trPr>
        <w:tc>
          <w:tcPr>
            <w:tcW w:w="876" w:type="dxa"/>
            <w:vAlign w:val="center"/>
          </w:tcPr>
          <w:p>
            <w:pPr>
              <w:pStyle w:val="10"/>
              <w:keepNext w:val="0"/>
              <w:keepLines w:val="0"/>
              <w:pageBreakBefore w:val="0"/>
              <w:kinsoku/>
              <w:wordWrap/>
              <w:overflowPunct/>
              <w:topLinePunct w:val="0"/>
              <w:bidi w:val="0"/>
              <w:spacing w:line="440" w:lineRule="exact"/>
              <w:ind w:firstLine="0" w:firstLineChars="0"/>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其他</w:t>
            </w:r>
          </w:p>
        </w:tc>
        <w:tc>
          <w:tcPr>
            <w:tcW w:w="7646" w:type="dxa"/>
            <w:vAlign w:val="center"/>
          </w:tcPr>
          <w:p>
            <w:pPr>
              <w:keepNext w:val="0"/>
              <w:keepLines w:val="0"/>
              <w:pageBreakBefore w:val="0"/>
              <w:widowControl/>
              <w:kinsoku/>
              <w:wordWrap/>
              <w:overflowPunct/>
              <w:topLinePunct w:val="0"/>
              <w:bidi w:val="0"/>
              <w:snapToGrid w:val="0"/>
              <w:spacing w:line="440" w:lineRule="exact"/>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总量控制指标：</w:t>
            </w:r>
          </w:p>
          <w:p>
            <w:pPr>
              <w:keepNext w:val="0"/>
              <w:keepLines w:val="0"/>
              <w:pageBreakBefore w:val="0"/>
              <w:widowControl/>
              <w:kinsoku/>
              <w:wordWrap/>
              <w:overflowPunct/>
              <w:topLinePunct w:val="0"/>
              <w:bidi w:val="0"/>
              <w:snapToGrid w:val="0"/>
              <w:spacing w:line="440" w:lineRule="exact"/>
              <w:ind w:firstLine="480" w:firstLineChars="20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本项目钻试周期短，污染物产生量少，钻试期结束后污染影响即消失，故不提出污染物排放总量控制指标。</w:t>
            </w:r>
          </w:p>
        </w:tc>
      </w:tr>
    </w:tbl>
    <w:p>
      <w:pPr>
        <w:pStyle w:val="10"/>
        <w:rPr>
          <w:rFonts w:hint="default" w:ascii="Times New Roman" w:hAnsi="Times New Roman" w:cs="Times New Roman"/>
          <w:color w:val="000000" w:themeColor="text1"/>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3"/>
        <w:rPr>
          <w:rFonts w:hint="default" w:ascii="Times New Roman" w:hAnsi="Times New Roman" w:eastAsia="黑体" w:cs="Times New Roman"/>
          <w:b w:val="0"/>
          <w:bCs/>
          <w:color w:val="000000" w:themeColor="text1"/>
          <w:sz w:val="30"/>
          <w:szCs w:val="30"/>
          <w:highlight w:val="none"/>
          <w14:textFill>
            <w14:solidFill>
              <w14:schemeClr w14:val="tx1"/>
            </w14:solidFill>
          </w14:textFill>
        </w:rPr>
      </w:pPr>
      <w:bookmarkStart w:id="75" w:name="_Toc4117"/>
      <w:r>
        <w:rPr>
          <w:rFonts w:hint="default" w:ascii="Times New Roman" w:hAnsi="Times New Roman" w:eastAsia="黑体" w:cs="Times New Roman"/>
          <w:b w:val="0"/>
          <w:bCs/>
          <w:color w:val="000000" w:themeColor="text1"/>
          <w:sz w:val="30"/>
          <w:szCs w:val="30"/>
          <w:highlight w:val="none"/>
          <w14:textFill>
            <w14:solidFill>
              <w14:schemeClr w14:val="tx1"/>
            </w14:solidFill>
          </w14:textFill>
        </w:rPr>
        <w:t>四、生态环境影响分析</w:t>
      </w:r>
      <w:bookmarkEnd w:id="75"/>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79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4" w:type="dxa"/>
            <w:vAlign w:val="center"/>
          </w:tcPr>
          <w:p>
            <w:pPr>
              <w:pStyle w:val="10"/>
              <w:ind w:firstLine="0" w:firstLineChars="0"/>
              <w:rPr>
                <w:rFonts w:hint="default" w:ascii="Times New Roman" w:hAnsi="Times New Roman" w:cs="Times New Roman"/>
                <w:b w:val="0"/>
                <w:bCs w:val="0"/>
                <w:color w:val="auto"/>
              </w:rPr>
            </w:pPr>
            <w:r>
              <w:rPr>
                <w:rFonts w:hint="default" w:ascii="Times New Roman" w:hAnsi="Times New Roman" w:cs="Times New Roman"/>
                <w:b w:val="0"/>
                <w:bCs w:val="0"/>
                <w:color w:val="auto"/>
              </w:rPr>
              <w:t>施工期生态环境影响分析</w:t>
            </w:r>
          </w:p>
        </w:tc>
        <w:tc>
          <w:tcPr>
            <w:tcW w:w="7932" w:type="dxa"/>
          </w:tcPr>
          <w:p>
            <w:pPr>
              <w:pStyle w:val="54"/>
              <w:numPr>
                <w:ilvl w:val="0"/>
                <w:numId w:val="12"/>
              </w:numPr>
              <w:bidi w:val="0"/>
              <w:ind w:left="9" w:leftChars="0" w:firstLineChars="0"/>
              <w:rPr>
                <w:rFonts w:hint="default"/>
                <w:color w:val="auto"/>
              </w:rPr>
            </w:pPr>
            <w:bookmarkStart w:id="76" w:name="_Hlk136794071"/>
            <w:r>
              <w:rPr>
                <w:rFonts w:hint="default"/>
                <w:color w:val="auto"/>
              </w:rPr>
              <w:t>生态环境影响分析</w:t>
            </w:r>
          </w:p>
          <w:bookmarkEnd w:id="76"/>
          <w:p>
            <w:pPr>
              <w:pStyle w:val="10"/>
              <w:ind w:firstLine="480"/>
              <w:rPr>
                <w:rFonts w:hint="default" w:ascii="Times New Roman" w:hAnsi="Times New Roman" w:cs="Times New Roman"/>
                <w:b w:val="0"/>
                <w:bCs w:val="0"/>
                <w:color w:val="auto"/>
              </w:rPr>
            </w:pPr>
            <w:r>
              <w:rPr>
                <w:rFonts w:hint="default" w:ascii="Times New Roman" w:hAnsi="Times New Roman" w:cs="Times New Roman"/>
                <w:b w:val="0"/>
                <w:bCs w:val="0"/>
                <w:color w:val="auto"/>
              </w:rPr>
              <w:t>（1）工程占地</w:t>
            </w:r>
          </w:p>
          <w:p>
            <w:pPr>
              <w:pStyle w:val="10"/>
              <w:ind w:firstLine="480"/>
              <w:rPr>
                <w:rFonts w:hint="default" w:ascii="Times New Roman" w:hAnsi="Times New Roman" w:cs="Times New Roman"/>
                <w:b w:val="0"/>
                <w:bCs w:val="0"/>
                <w:color w:val="auto"/>
              </w:rPr>
            </w:pPr>
            <w:r>
              <w:rPr>
                <w:rFonts w:hint="default" w:ascii="Times New Roman" w:hAnsi="Times New Roman" w:cs="Times New Roman"/>
                <w:b w:val="0"/>
                <w:bCs w:val="0"/>
                <w:color w:val="auto"/>
                <w:lang w:val="en-US" w:eastAsia="zh-CN"/>
              </w:rPr>
              <w:t>本项目</w:t>
            </w:r>
            <w:r>
              <w:rPr>
                <w:rFonts w:hint="default" w:ascii="Times New Roman" w:hAnsi="Times New Roman" w:cs="Times New Roman"/>
                <w:b w:val="0"/>
                <w:bCs w:val="0"/>
                <w:color w:val="auto"/>
              </w:rPr>
              <w:t>占地主要包括井场、</w:t>
            </w:r>
            <w:r>
              <w:rPr>
                <w:rFonts w:hint="eastAsia" w:ascii="Times New Roman" w:hAnsi="Times New Roman" w:cs="Times New Roman"/>
                <w:b w:val="0"/>
                <w:bCs w:val="0"/>
                <w:color w:val="auto"/>
                <w:lang w:eastAsia="zh-CN"/>
              </w:rPr>
              <w:t>探临道路</w:t>
            </w:r>
            <w:r>
              <w:rPr>
                <w:rFonts w:hint="default" w:ascii="Times New Roman" w:hAnsi="Times New Roman" w:cs="Times New Roman"/>
                <w:b w:val="0"/>
                <w:bCs w:val="0"/>
                <w:color w:val="auto"/>
              </w:rPr>
              <w:t>、生活营地，应急放喷池和钻井液不落地系统占地包含在井场占地范围内，项目总占地面积16829m</w:t>
            </w:r>
            <w:r>
              <w:rPr>
                <w:rFonts w:hint="default" w:ascii="Times New Roman" w:hAnsi="Times New Roman" w:cs="Times New Roman"/>
                <w:b w:val="0"/>
                <w:bCs w:val="0"/>
                <w:color w:val="auto"/>
                <w:vertAlign w:val="superscript"/>
              </w:rPr>
              <w:t>2</w:t>
            </w:r>
            <w:r>
              <w:rPr>
                <w:rFonts w:hint="default" w:ascii="Times New Roman" w:hAnsi="Times New Roman" w:cs="Times New Roman"/>
                <w:b w:val="0"/>
                <w:bCs w:val="0"/>
                <w:color w:val="auto"/>
              </w:rPr>
              <w:t>，</w:t>
            </w:r>
            <w:bookmarkStart w:id="77" w:name="_Hlk167562934"/>
            <w:r>
              <w:rPr>
                <w:rFonts w:hint="default" w:ascii="Times New Roman" w:hAnsi="Times New Roman" w:cs="Times New Roman"/>
                <w:b w:val="0"/>
                <w:bCs w:val="0"/>
                <w:color w:val="auto"/>
              </w:rPr>
              <w:t>均为临时占地</w:t>
            </w:r>
            <w:r>
              <w:rPr>
                <w:rFonts w:hint="eastAsia" w:cs="Times New Roman"/>
                <w:b w:val="0"/>
                <w:bCs w:val="0"/>
                <w:color w:val="auto"/>
                <w:lang w:eastAsia="zh-CN"/>
              </w:rPr>
              <w:t>，</w:t>
            </w:r>
            <w:r>
              <w:rPr>
                <w:rFonts w:hint="default" w:ascii="Times New Roman" w:hAnsi="Times New Roman" w:cs="Times New Roman"/>
                <w:b w:val="0"/>
                <w:bCs w:val="0"/>
                <w:color w:val="auto"/>
              </w:rPr>
              <w:t>施工结束后进行恢复平</w:t>
            </w:r>
            <w:bookmarkEnd w:id="77"/>
            <w:r>
              <w:rPr>
                <w:rFonts w:hint="eastAsia" w:cs="Times New Roman"/>
                <w:b w:val="0"/>
                <w:bCs w:val="0"/>
                <w:color w:val="auto"/>
                <w:lang w:val="en-US" w:eastAsia="zh-CN"/>
              </w:rPr>
              <w:t>整</w:t>
            </w:r>
            <w:r>
              <w:rPr>
                <w:rFonts w:hint="eastAsia" w:cs="Times New Roman"/>
                <w:b w:val="0"/>
                <w:bCs w:val="0"/>
                <w:color w:val="auto"/>
                <w:lang w:eastAsia="zh-CN"/>
              </w:rPr>
              <w:t>。</w:t>
            </w:r>
            <w:r>
              <w:rPr>
                <w:rFonts w:hint="default" w:ascii="Times New Roman" w:hAnsi="Times New Roman" w:cs="Times New Roman"/>
                <w:b w:val="0"/>
                <w:bCs w:val="0"/>
                <w:color w:val="auto"/>
              </w:rPr>
              <w:t>建设单位目前正在办理临时用地征地手续。具体占地情况见表</w:t>
            </w:r>
            <w:r>
              <w:rPr>
                <w:rFonts w:hint="default" w:ascii="Times New Roman" w:hAnsi="Times New Roman" w:cs="Times New Roman"/>
                <w:b w:val="0"/>
                <w:bCs w:val="0"/>
                <w:color w:val="auto"/>
                <w:lang w:val="en-US" w:eastAsia="zh-CN"/>
              </w:rPr>
              <w:t>4-1</w:t>
            </w:r>
            <w:r>
              <w:rPr>
                <w:rFonts w:hint="default" w:ascii="Times New Roman" w:hAnsi="Times New Roman" w:cs="Times New Roman"/>
                <w:b w:val="0"/>
                <w:bCs w:val="0"/>
                <w:color w:val="auto"/>
              </w:rPr>
              <w:t>。</w:t>
            </w:r>
          </w:p>
          <w:p>
            <w:pPr>
              <w:pStyle w:val="56"/>
              <w:bidi w:val="0"/>
              <w:rPr>
                <w:rFonts w:hint="default"/>
                <w:color w:val="auto"/>
              </w:rPr>
            </w:pPr>
            <w:bookmarkStart w:id="78" w:name="_Ref67772631"/>
            <w:r>
              <w:rPr>
                <w:rFonts w:hint="default"/>
                <w:color w:val="auto"/>
              </w:rPr>
              <w:t>表</w:t>
            </w:r>
            <w:r>
              <w:rPr>
                <w:rFonts w:hint="default"/>
                <w:color w:val="auto"/>
                <w:lang w:val="en-US" w:eastAsia="zh-CN"/>
              </w:rPr>
              <w:t>4-1</w:t>
            </w:r>
            <w:r>
              <w:rPr>
                <w:rFonts w:hint="default"/>
                <w:color w:val="auto"/>
              </w:rPr>
              <w:t xml:space="preserve">  </w:t>
            </w:r>
            <w:r>
              <w:rPr>
                <w:rFonts w:hint="default"/>
                <w:color w:val="auto"/>
                <w:lang w:val="en-US" w:eastAsia="zh-CN"/>
              </w:rPr>
              <w:t>本项目</w:t>
            </w:r>
            <w:r>
              <w:rPr>
                <w:rFonts w:hint="default"/>
                <w:color w:val="auto"/>
              </w:rPr>
              <w:t>占地</w:t>
            </w:r>
            <w:r>
              <w:rPr>
                <w:rFonts w:hint="default"/>
                <w:color w:val="auto"/>
                <w:lang w:val="en-US" w:eastAsia="zh-CN"/>
              </w:rPr>
              <w:t>面积及土地利用类型</w:t>
            </w:r>
            <w:r>
              <w:rPr>
                <w:rFonts w:hint="default"/>
                <w:color w:val="auto"/>
              </w:rPr>
              <w:t>一览表</w:t>
            </w:r>
          </w:p>
          <w:tbl>
            <w:tblPr>
              <w:tblStyle w:val="27"/>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57" w:type="dxa"/>
                <w:bottom w:w="0" w:type="dxa"/>
                <w:right w:w="57" w:type="dxa"/>
              </w:tblCellMar>
            </w:tblPr>
            <w:tblGrid>
              <w:gridCol w:w="1649"/>
              <w:gridCol w:w="1979"/>
              <w:gridCol w:w="1508"/>
              <w:gridCol w:w="2580"/>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0" w:hRule="atLeast"/>
                <w:jc w:val="center"/>
              </w:trPr>
              <w:tc>
                <w:tcPr>
                  <w:tcW w:w="1068" w:type="pct"/>
                  <w:vAlign w:val="center"/>
                </w:tcPr>
                <w:p>
                  <w:pPr>
                    <w:snapToGrid w:val="0"/>
                    <w:spacing w:line="300" w:lineRule="exact"/>
                    <w:jc w:val="center"/>
                    <w:rPr>
                      <w:rFonts w:hint="default" w:ascii="Times New Roman" w:hAnsi="Times New Roman" w:cs="Times New Roman"/>
                      <w:color w:val="auto"/>
                      <w:sz w:val="21"/>
                      <w:szCs w:val="21"/>
                    </w:rPr>
                  </w:pPr>
                  <w:bookmarkStart w:id="79" w:name="_Hlk180059234"/>
                  <w:r>
                    <w:rPr>
                      <w:rFonts w:hint="default" w:ascii="Times New Roman" w:hAnsi="Times New Roman" w:cs="Times New Roman"/>
                      <w:color w:val="auto"/>
                      <w:sz w:val="21"/>
                      <w:szCs w:val="21"/>
                      <w:lang w:val="en-US" w:eastAsia="zh-CN"/>
                    </w:rPr>
                    <w:t>项目占地</w:t>
                  </w:r>
                </w:p>
              </w:tc>
              <w:tc>
                <w:tcPr>
                  <w:tcW w:w="2259" w:type="pct"/>
                  <w:gridSpan w:val="2"/>
                  <w:tcBorders>
                    <w:right w:val="single" w:color="auto" w:sz="4" w:space="0"/>
                  </w:tcBorders>
                  <w:vAlign w:val="center"/>
                </w:tcPr>
                <w:p>
                  <w:pPr>
                    <w:snapToGrid w:val="0"/>
                    <w:spacing w:line="30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占地</w:t>
                  </w:r>
                  <w:r>
                    <w:rPr>
                      <w:rFonts w:hint="default" w:ascii="Times New Roman" w:hAnsi="Times New Roman" w:cs="Times New Roman"/>
                      <w:color w:val="auto"/>
                      <w:sz w:val="21"/>
                      <w:szCs w:val="21"/>
                    </w:rPr>
                    <w:t>面积（m</w:t>
                  </w:r>
                  <w:r>
                    <w:rPr>
                      <w:rFonts w:hint="default" w:ascii="Times New Roman" w:hAnsi="Times New Roman" w:cs="Times New Roman"/>
                      <w:color w:val="auto"/>
                      <w:sz w:val="21"/>
                      <w:szCs w:val="21"/>
                      <w:vertAlign w:val="superscript"/>
                    </w:rPr>
                    <w:t>2</w:t>
                  </w:r>
                  <w:r>
                    <w:rPr>
                      <w:rFonts w:hint="default" w:ascii="Times New Roman" w:hAnsi="Times New Roman" w:cs="Times New Roman"/>
                      <w:color w:val="auto"/>
                      <w:sz w:val="21"/>
                      <w:szCs w:val="21"/>
                    </w:rPr>
                    <w:t>）</w:t>
                  </w:r>
                </w:p>
              </w:tc>
              <w:tc>
                <w:tcPr>
                  <w:tcW w:w="1671" w:type="pct"/>
                  <w:tcBorders>
                    <w:left w:val="single" w:color="auto" w:sz="4" w:space="0"/>
                  </w:tcBorders>
                  <w:vAlign w:val="center"/>
                </w:tcPr>
                <w:p>
                  <w:pPr>
                    <w:snapToGrid w:val="0"/>
                    <w:spacing w:line="300" w:lineRule="exact"/>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土地利用</w:t>
                  </w:r>
                  <w:r>
                    <w:rPr>
                      <w:rFonts w:hint="default" w:ascii="Times New Roman" w:hAnsi="Times New Roman" w:cs="Times New Roman"/>
                      <w:color w:val="auto"/>
                      <w:sz w:val="21"/>
                      <w:szCs w:val="21"/>
                      <w:lang w:val="en-US" w:eastAsia="zh-CN"/>
                    </w:rPr>
                    <w:t>类型</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0" w:hRule="atLeast"/>
                <w:jc w:val="center"/>
              </w:trPr>
              <w:tc>
                <w:tcPr>
                  <w:tcW w:w="1068" w:type="pct"/>
                  <w:vAlign w:val="center"/>
                </w:tcPr>
                <w:p>
                  <w:pPr>
                    <w:snapToGrid w:val="0"/>
                    <w:spacing w:line="30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井场</w:t>
                  </w:r>
                </w:p>
              </w:tc>
              <w:tc>
                <w:tcPr>
                  <w:tcW w:w="2259" w:type="pct"/>
                  <w:gridSpan w:val="2"/>
                  <w:tcBorders>
                    <w:right w:val="single" w:color="auto" w:sz="4" w:space="0"/>
                  </w:tcBorders>
                  <w:vAlign w:val="center"/>
                </w:tcPr>
                <w:p>
                  <w:pPr>
                    <w:keepNext w:val="0"/>
                    <w:keepLines w:val="0"/>
                    <w:widowControl/>
                    <w:suppressLineNumbers w:val="0"/>
                    <w:jc w:val="center"/>
                    <w:textAlignment w:val="center"/>
                    <w:rPr>
                      <w:rFonts w:hint="default" w:ascii="Times New Roman" w:hAnsi="Times New Roman" w:cs="Times New Roman"/>
                      <w:color w:val="auto"/>
                      <w:sz w:val="21"/>
                      <w:szCs w:val="21"/>
                      <w:lang w:val="en-US"/>
                    </w:rPr>
                  </w:pPr>
                  <w:r>
                    <w:rPr>
                      <w:rFonts w:hint="default" w:ascii="Times New Roman" w:hAnsi="Times New Roman" w:eastAsia="宋体" w:cs="Times New Roman"/>
                      <w:i w:val="0"/>
                      <w:iCs w:val="0"/>
                      <w:color w:val="auto"/>
                      <w:kern w:val="0"/>
                      <w:sz w:val="21"/>
                      <w:szCs w:val="21"/>
                      <w:u w:val="none"/>
                      <w:lang w:val="en-US" w:eastAsia="zh-CN" w:bidi="ar"/>
                    </w:rPr>
                    <w:t>12217</w:t>
                  </w:r>
                </w:p>
              </w:tc>
              <w:tc>
                <w:tcPr>
                  <w:tcW w:w="1671" w:type="pct"/>
                  <w:tcBorders>
                    <w:left w:val="single" w:color="auto" w:sz="4" w:space="0"/>
                  </w:tcBorders>
                  <w:vAlign w:val="center"/>
                </w:tcPr>
                <w:p>
                  <w:pPr>
                    <w:snapToGrid w:val="0"/>
                    <w:spacing w:line="300" w:lineRule="exact"/>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天然牧草地</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0" w:hRule="atLeast"/>
                <w:jc w:val="center"/>
              </w:trPr>
              <w:tc>
                <w:tcPr>
                  <w:tcW w:w="1068" w:type="pct"/>
                  <w:vAlign w:val="center"/>
                </w:tcPr>
                <w:p>
                  <w:pPr>
                    <w:snapToGrid w:val="0"/>
                    <w:spacing w:line="30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生活营地</w:t>
                  </w:r>
                </w:p>
              </w:tc>
              <w:tc>
                <w:tcPr>
                  <w:tcW w:w="2259" w:type="pct"/>
                  <w:gridSpan w:val="2"/>
                  <w:tcBorders>
                    <w:right w:val="single" w:color="auto" w:sz="4" w:space="0"/>
                  </w:tcBorders>
                  <w:vAlign w:val="center"/>
                </w:tcPr>
                <w:p>
                  <w:pPr>
                    <w:keepNext w:val="0"/>
                    <w:keepLines w:val="0"/>
                    <w:widowControl/>
                    <w:suppressLineNumbers w:val="0"/>
                    <w:jc w:val="center"/>
                    <w:textAlignment w:val="center"/>
                    <w:rPr>
                      <w:rFonts w:hint="default" w:ascii="Times New Roman" w:hAnsi="Times New Roman" w:cs="Times New Roman"/>
                      <w:color w:val="auto"/>
                      <w:sz w:val="21"/>
                      <w:szCs w:val="21"/>
                      <w:lang w:val="en-US"/>
                    </w:rPr>
                  </w:pPr>
                  <w:r>
                    <w:rPr>
                      <w:rFonts w:hint="default" w:ascii="Times New Roman" w:hAnsi="Times New Roman" w:eastAsia="宋体" w:cs="Times New Roman"/>
                      <w:i w:val="0"/>
                      <w:iCs w:val="0"/>
                      <w:color w:val="auto"/>
                      <w:kern w:val="0"/>
                      <w:sz w:val="21"/>
                      <w:szCs w:val="21"/>
                      <w:u w:val="none"/>
                      <w:lang w:val="en-US" w:eastAsia="zh-CN" w:bidi="ar"/>
                    </w:rPr>
                    <w:t>2950</w:t>
                  </w:r>
                </w:p>
              </w:tc>
              <w:tc>
                <w:tcPr>
                  <w:tcW w:w="1671" w:type="pct"/>
                  <w:tcBorders>
                    <w:left w:val="single" w:color="auto" w:sz="4" w:space="0"/>
                  </w:tcBorders>
                  <w:vAlign w:val="center"/>
                </w:tcPr>
                <w:p>
                  <w:pPr>
                    <w:snapToGrid w:val="0"/>
                    <w:spacing w:line="300" w:lineRule="exact"/>
                    <w:jc w:val="center"/>
                    <w:rPr>
                      <w:rFonts w:hint="default" w:ascii="Times New Roman" w:hAnsi="Times New Roman" w:cs="Times New Roman"/>
                      <w:color w:val="auto"/>
                      <w:sz w:val="21"/>
                      <w:szCs w:val="21"/>
                    </w:rPr>
                  </w:pPr>
                  <w:r>
                    <w:rPr>
                      <w:rFonts w:hint="eastAsia" w:cs="Times New Roman"/>
                      <w:color w:val="auto"/>
                      <w:sz w:val="21"/>
                      <w:szCs w:val="21"/>
                      <w:lang w:val="en-US" w:eastAsia="zh-CN"/>
                    </w:rPr>
                    <w:t>天然牧草地</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0" w:hRule="atLeast"/>
                <w:jc w:val="center"/>
              </w:trPr>
              <w:tc>
                <w:tcPr>
                  <w:tcW w:w="1068" w:type="pct"/>
                  <w:vMerge w:val="restart"/>
                  <w:vAlign w:val="center"/>
                </w:tcPr>
                <w:p>
                  <w:pPr>
                    <w:snapToGrid w:val="0"/>
                    <w:spacing w:line="300" w:lineRule="exact"/>
                    <w:jc w:val="center"/>
                    <w:rPr>
                      <w:rFonts w:hint="eastAsia" w:ascii="Times New Roman" w:hAnsi="Times New Roman" w:eastAsia="宋体" w:cs="Times New Roman"/>
                      <w:color w:val="auto"/>
                      <w:sz w:val="21"/>
                      <w:szCs w:val="21"/>
                      <w:lang w:eastAsia="zh-CN"/>
                    </w:rPr>
                  </w:pPr>
                  <w:r>
                    <w:rPr>
                      <w:rFonts w:hint="eastAsia" w:cs="Times New Roman"/>
                      <w:color w:val="auto"/>
                      <w:sz w:val="21"/>
                      <w:szCs w:val="21"/>
                      <w:lang w:eastAsia="zh-CN"/>
                    </w:rPr>
                    <w:t>探临道路</w:t>
                  </w:r>
                </w:p>
              </w:tc>
              <w:tc>
                <w:tcPr>
                  <w:tcW w:w="1282" w:type="pct"/>
                  <w:tcBorders>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天然牧草地1068</w:t>
                  </w:r>
                </w:p>
              </w:tc>
              <w:tc>
                <w:tcPr>
                  <w:tcW w:w="976" w:type="pct"/>
                  <w:vMerge w:val="restart"/>
                  <w:tcBorders>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合计</w:t>
                  </w:r>
                  <w:r>
                    <w:rPr>
                      <w:rFonts w:hint="default" w:ascii="Times New Roman" w:hAnsi="Times New Roman" w:eastAsia="宋体" w:cs="Times New Roman"/>
                      <w:i w:val="0"/>
                      <w:iCs w:val="0"/>
                      <w:color w:val="auto"/>
                      <w:kern w:val="0"/>
                      <w:sz w:val="21"/>
                      <w:szCs w:val="21"/>
                      <w:u w:val="none"/>
                      <w:lang w:val="en-US" w:eastAsia="zh-CN" w:bidi="ar"/>
                    </w:rPr>
                    <w:t>1662</w:t>
                  </w:r>
                </w:p>
              </w:tc>
              <w:tc>
                <w:tcPr>
                  <w:tcW w:w="1671" w:type="pct"/>
                  <w:vMerge w:val="restart"/>
                  <w:tcBorders>
                    <w:left w:val="single" w:color="auto" w:sz="4" w:space="0"/>
                  </w:tcBorders>
                  <w:vAlign w:val="center"/>
                </w:tcPr>
                <w:p>
                  <w:pPr>
                    <w:snapToGrid w:val="0"/>
                    <w:spacing w:line="300" w:lineRule="exact"/>
                    <w:jc w:val="center"/>
                    <w:rPr>
                      <w:rFonts w:hint="eastAsia" w:cs="Times New Roman"/>
                      <w:color w:val="auto"/>
                      <w:sz w:val="21"/>
                      <w:szCs w:val="21"/>
                      <w:lang w:val="en-US" w:eastAsia="zh-CN"/>
                    </w:rPr>
                  </w:pPr>
                  <w:r>
                    <w:rPr>
                      <w:rFonts w:hint="eastAsia" w:cs="Times New Roman"/>
                      <w:color w:val="auto"/>
                      <w:sz w:val="21"/>
                      <w:szCs w:val="21"/>
                      <w:lang w:val="en-US" w:eastAsia="zh-CN"/>
                    </w:rPr>
                    <w:t>天然牧草地、公路用地</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0" w:hRule="atLeast"/>
                <w:jc w:val="center"/>
              </w:trPr>
              <w:tc>
                <w:tcPr>
                  <w:tcW w:w="1068" w:type="pct"/>
                  <w:vMerge w:val="continue"/>
                  <w:vAlign w:val="center"/>
                </w:tcPr>
                <w:p>
                  <w:pPr>
                    <w:snapToGrid w:val="0"/>
                    <w:spacing w:line="300" w:lineRule="exact"/>
                    <w:jc w:val="center"/>
                    <w:rPr>
                      <w:rFonts w:hint="eastAsia" w:cs="Times New Roman"/>
                      <w:color w:val="auto"/>
                      <w:sz w:val="21"/>
                      <w:szCs w:val="21"/>
                      <w:lang w:eastAsia="zh-CN"/>
                    </w:rPr>
                  </w:pPr>
                </w:p>
              </w:tc>
              <w:tc>
                <w:tcPr>
                  <w:tcW w:w="1282" w:type="pct"/>
                  <w:tcBorders>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公路用地594</w:t>
                  </w:r>
                </w:p>
              </w:tc>
              <w:tc>
                <w:tcPr>
                  <w:tcW w:w="976" w:type="pct"/>
                  <w:vMerge w:val="continue"/>
                  <w:tcBorders>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671" w:type="pct"/>
                  <w:vMerge w:val="continue"/>
                  <w:tcBorders>
                    <w:left w:val="single" w:color="auto" w:sz="4" w:space="0"/>
                  </w:tcBorders>
                  <w:vAlign w:val="center"/>
                </w:tcPr>
                <w:p>
                  <w:pPr>
                    <w:snapToGrid w:val="0"/>
                    <w:spacing w:line="300" w:lineRule="exact"/>
                    <w:jc w:val="center"/>
                    <w:rPr>
                      <w:rFonts w:hint="eastAsia" w:cs="Times New Roman"/>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0" w:hRule="atLeast"/>
                <w:jc w:val="center"/>
              </w:trPr>
              <w:tc>
                <w:tcPr>
                  <w:tcW w:w="1068" w:type="pct"/>
                  <w:vAlign w:val="center"/>
                </w:tcPr>
                <w:p>
                  <w:pPr>
                    <w:snapToGrid w:val="0"/>
                    <w:spacing w:line="30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总计</w:t>
                  </w:r>
                </w:p>
              </w:tc>
              <w:tc>
                <w:tcPr>
                  <w:tcW w:w="2259" w:type="pct"/>
                  <w:gridSpan w:val="2"/>
                  <w:tcBorders>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16829</w:t>
                  </w:r>
                </w:p>
              </w:tc>
              <w:tc>
                <w:tcPr>
                  <w:tcW w:w="1671" w:type="pct"/>
                  <w:tcBorders>
                    <w:left w:val="single" w:color="auto" w:sz="4" w:space="0"/>
                  </w:tcBorders>
                  <w:shd w:val="clear" w:color="auto" w:fill="auto"/>
                  <w:vAlign w:val="center"/>
                </w:tcPr>
                <w:p>
                  <w:pPr>
                    <w:snapToGrid w:val="0"/>
                    <w:spacing w:line="300" w:lineRule="exact"/>
                    <w:jc w:val="center"/>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w:t>
                  </w:r>
                </w:p>
              </w:tc>
            </w:tr>
            <w:bookmarkEnd w:id="78"/>
            <w:bookmarkEnd w:id="79"/>
          </w:tbl>
          <w:p>
            <w:pPr>
              <w:pStyle w:val="10"/>
              <w:ind w:firstLine="480"/>
              <w:rPr>
                <w:rFonts w:hint="default" w:ascii="Times New Roman" w:hAnsi="Times New Roman" w:cs="Times New Roman"/>
                <w:b w:val="0"/>
                <w:bCs w:val="0"/>
                <w:color w:val="auto"/>
              </w:rPr>
            </w:pPr>
            <w:r>
              <w:rPr>
                <w:rFonts w:hint="default" w:ascii="Times New Roman" w:hAnsi="Times New Roman" w:cs="Times New Roman"/>
                <w:b w:val="0"/>
                <w:bCs w:val="0"/>
                <w:color w:val="auto"/>
              </w:rPr>
              <w:t>（2）对植被的影响分析</w:t>
            </w:r>
          </w:p>
          <w:p>
            <w:pPr>
              <w:pStyle w:val="10"/>
              <w:bidi w:val="0"/>
              <w:rPr>
                <w:rFonts w:hint="default"/>
                <w:color w:val="auto"/>
              </w:rPr>
            </w:pPr>
            <w:r>
              <w:rPr>
                <w:rFonts w:hint="default"/>
                <w:color w:val="auto"/>
              </w:rPr>
              <w:t>钻前工程建设（包括井场、探临道路、生活营地建设工程）及各施工阶段的人类活动是造成植被破坏的主要原因，对植被主要影响形式是施工阶段对土地的占用、清场过程中对地表植被的清理及施工过程中机械、设备的</w:t>
            </w:r>
            <w:r>
              <w:rPr>
                <w:rFonts w:hint="eastAsia"/>
                <w:color w:val="auto"/>
                <w:lang w:eastAsia="zh-CN"/>
              </w:rPr>
              <w:t>碾轧</w:t>
            </w:r>
            <w:r>
              <w:rPr>
                <w:rFonts w:hint="default"/>
                <w:color w:val="auto"/>
              </w:rPr>
              <w:t>。</w:t>
            </w:r>
          </w:p>
          <w:p>
            <w:pPr>
              <w:pStyle w:val="10"/>
              <w:bidi w:val="0"/>
              <w:rPr>
                <w:rFonts w:hint="eastAsia" w:ascii="Times New Roman" w:hAnsi="Times New Roman" w:eastAsia="宋体" w:cs="Times New Roman"/>
                <w:bCs/>
                <w:color w:val="auto"/>
                <w:highlight w:val="none"/>
                <w:lang w:val="en-US" w:eastAsia="zh-CN"/>
              </w:rPr>
            </w:pPr>
            <w:r>
              <w:rPr>
                <w:rFonts w:hint="eastAsia" w:ascii="Times New Roman" w:hAnsi="Times New Roman" w:eastAsia="宋体" w:cs="Times New Roman"/>
                <w:bCs/>
                <w:color w:val="auto"/>
                <w:highlight w:val="none"/>
                <w:lang w:val="en-US" w:eastAsia="zh-CN"/>
              </w:rPr>
              <w:t>原莫24井井场全部为临时用地，此井于2015年实施后封井，目前用地植被已逐步自然恢复，植被覆盖度约20%。本项目实施前需重新办理临时用地手续。全部为新增用地。</w:t>
            </w:r>
            <w:r>
              <w:rPr>
                <w:rFonts w:hint="default" w:ascii="Times New Roman" w:hAnsi="Times New Roman" w:eastAsia="宋体" w:cs="Times New Roman"/>
                <w:bCs/>
                <w:color w:val="auto"/>
                <w:highlight w:val="none"/>
              </w:rPr>
              <w:t>生物损失量</w:t>
            </w:r>
            <w:r>
              <w:rPr>
                <w:rFonts w:hint="eastAsia" w:ascii="Times New Roman" w:hAnsi="Times New Roman" w:eastAsia="宋体" w:cs="Times New Roman"/>
                <w:bCs/>
                <w:color w:val="auto"/>
                <w:highlight w:val="none"/>
                <w:lang w:val="en-US" w:eastAsia="zh-CN"/>
              </w:rPr>
              <w:t>按1.5</w:t>
            </w:r>
            <w:r>
              <w:rPr>
                <w:rFonts w:hint="default" w:ascii="Times New Roman" w:hAnsi="Times New Roman" w:eastAsia="宋体" w:cs="Times New Roman"/>
                <w:bCs/>
                <w:color w:val="auto"/>
                <w:highlight w:val="none"/>
              </w:rPr>
              <w:t>t/（hm</w:t>
            </w:r>
            <w:r>
              <w:rPr>
                <w:rFonts w:hint="default" w:ascii="Times New Roman" w:hAnsi="Times New Roman" w:eastAsia="宋体" w:cs="Times New Roman"/>
                <w:bCs/>
                <w:color w:val="auto"/>
                <w:highlight w:val="none"/>
                <w:vertAlign w:val="superscript"/>
              </w:rPr>
              <w:t>2</w:t>
            </w:r>
            <w:r>
              <w:rPr>
                <w:rFonts w:hint="default" w:ascii="Times New Roman" w:hAnsi="Times New Roman" w:eastAsia="宋体" w:cs="Times New Roman"/>
                <w:bCs/>
                <w:color w:val="auto"/>
                <w:highlight w:val="none"/>
              </w:rPr>
              <w:t>·a</w:t>
            </w:r>
            <w:r>
              <w:rPr>
                <w:rFonts w:hint="eastAsia" w:ascii="Times New Roman" w:hAnsi="Times New Roman" w:eastAsia="宋体" w:cs="Times New Roman"/>
                <w:bCs/>
                <w:color w:val="auto"/>
                <w:highlight w:val="none"/>
                <w:lang w:eastAsia="zh-CN"/>
              </w:rPr>
              <w:t>）</w:t>
            </w:r>
            <w:r>
              <w:rPr>
                <w:rFonts w:hint="default" w:ascii="Times New Roman" w:hAnsi="Times New Roman" w:eastAsia="宋体" w:cs="Times New Roman"/>
                <w:bCs/>
                <w:color w:val="auto"/>
                <w:highlight w:val="none"/>
              </w:rPr>
              <w:t>计算，</w:t>
            </w:r>
            <w:r>
              <w:rPr>
                <w:rFonts w:hint="eastAsia" w:ascii="Times New Roman" w:hAnsi="Times New Roman" w:eastAsia="宋体" w:cs="Times New Roman"/>
                <w:bCs/>
                <w:color w:val="auto"/>
                <w:highlight w:val="none"/>
                <w:lang w:val="en-US" w:eastAsia="zh-CN"/>
              </w:rPr>
              <w:t>则临时占地中的天然牧草地生物损失量约为2.44</w:t>
            </w:r>
            <w:r>
              <w:rPr>
                <w:rFonts w:hint="default" w:ascii="Times New Roman" w:hAnsi="Times New Roman" w:eastAsia="宋体" w:cs="Times New Roman"/>
                <w:bCs/>
                <w:color w:val="auto"/>
                <w:highlight w:val="none"/>
              </w:rPr>
              <w:t>t/a，当临时性占地的植被得到初步恢复后，这种损失将逐渐减少。</w:t>
            </w:r>
          </w:p>
          <w:p>
            <w:pPr>
              <w:pStyle w:val="10"/>
              <w:bidi w:val="0"/>
              <w:rPr>
                <w:rFonts w:hint="default"/>
                <w:color w:val="auto"/>
              </w:rPr>
            </w:pPr>
            <w:r>
              <w:rPr>
                <w:rFonts w:hint="default"/>
                <w:color w:val="auto"/>
              </w:rPr>
              <w:t>施工井场、生活营地和</w:t>
            </w:r>
            <w:r>
              <w:rPr>
                <w:rFonts w:hint="eastAsia"/>
                <w:color w:val="auto"/>
                <w:lang w:eastAsia="zh-CN"/>
              </w:rPr>
              <w:t>探临道路</w:t>
            </w:r>
            <w:r>
              <w:rPr>
                <w:rFonts w:hint="default"/>
                <w:color w:val="auto"/>
              </w:rPr>
              <w:t>施工过程中将会破坏占地范围内的自然植被。</w:t>
            </w:r>
            <w:r>
              <w:rPr>
                <w:rFonts w:hint="eastAsia"/>
                <w:color w:val="auto"/>
                <w:lang w:val="en-US" w:eastAsia="zh-CN"/>
              </w:rPr>
              <w:t>本次选址利用现有封井井场用地，施工期应严格控制施工范围</w:t>
            </w:r>
            <w:r>
              <w:rPr>
                <w:rFonts w:hint="default"/>
                <w:color w:val="auto"/>
              </w:rPr>
              <w:t>，可有效减缓项目建设对植被的破坏，最大限度避免破坏野生动物的活动场所和生存环境。</w:t>
            </w:r>
            <w:r>
              <w:rPr>
                <w:rFonts w:hint="eastAsia"/>
                <w:color w:val="auto"/>
                <w:lang w:val="en-US" w:eastAsia="zh-CN"/>
              </w:rPr>
              <w:t>项目为临时用地，项目结束后及时对占地进行清理、平整以利于植被恢复。项目区主要植被为白梭梭，无国家和自治区保护野生植物分布，在采取避让、减缓、修复和补偿措施后，项目对植被的影响可接受。</w:t>
            </w:r>
          </w:p>
          <w:p>
            <w:pPr>
              <w:pStyle w:val="10"/>
              <w:ind w:firstLine="480"/>
              <w:rPr>
                <w:rFonts w:hint="default" w:ascii="Times New Roman" w:hAnsi="Times New Roman" w:cs="Times New Roman"/>
                <w:b w:val="0"/>
                <w:bCs w:val="0"/>
                <w:color w:val="auto"/>
              </w:rPr>
            </w:pPr>
            <w:r>
              <w:rPr>
                <w:rFonts w:hint="default" w:ascii="Times New Roman" w:hAnsi="Times New Roman" w:cs="Times New Roman"/>
                <w:b w:val="0"/>
                <w:bCs w:val="0"/>
                <w:color w:val="auto"/>
              </w:rPr>
              <w:t>（3）对野生动物的影响分析</w:t>
            </w:r>
          </w:p>
          <w:p>
            <w:pPr>
              <w:pStyle w:val="10"/>
              <w:bidi w:val="0"/>
              <w:rPr>
                <w:rFonts w:hint="default"/>
                <w:color w:val="auto"/>
              </w:rPr>
            </w:pPr>
            <w:r>
              <w:rPr>
                <w:rFonts w:hint="default"/>
                <w:color w:val="auto"/>
              </w:rPr>
              <w:t>项目的实施对野生动物生存环境、分布范围和种群数量的影响，主要分为直接影响和间接影响两个方面。直接影响主要表现为建设项目占地使野生动物的</w:t>
            </w:r>
            <w:r>
              <w:rPr>
                <w:rFonts w:hint="default"/>
                <w:color w:val="auto"/>
                <w:lang w:val="en-US" w:eastAsia="zh-CN"/>
              </w:rPr>
              <w:t>原有</w:t>
            </w:r>
            <w:r>
              <w:rPr>
                <w:rFonts w:hint="default"/>
                <w:color w:val="auto"/>
              </w:rPr>
              <w:t>生存环境被破坏或改变；间接影响主要表现为由于植被的减少或污染破坏而引起野生动物食物来源减少。</w:t>
            </w:r>
            <w:r>
              <w:rPr>
                <w:rFonts w:hint="eastAsia"/>
                <w:color w:val="auto"/>
                <w:lang w:eastAsia="zh-CN"/>
              </w:rPr>
              <w:t>施工</w:t>
            </w:r>
            <w:r>
              <w:rPr>
                <w:rFonts w:hint="default"/>
                <w:color w:val="auto"/>
              </w:rPr>
              <w:t>设备及车辆发出的噪声、人为活动会惊扰项目区附近的野生动物，影响其觅食、活动等行为。项目区及周边野生动物</w:t>
            </w:r>
            <w:r>
              <w:rPr>
                <w:rFonts w:hint="default"/>
                <w:color w:val="auto"/>
                <w:lang w:val="en-US" w:eastAsia="zh-CN"/>
              </w:rPr>
              <w:t>主要是小型</w:t>
            </w:r>
            <w:r>
              <w:rPr>
                <w:rFonts w:hint="default"/>
                <w:color w:val="auto"/>
              </w:rPr>
              <w:t>啮齿类</w:t>
            </w:r>
            <w:r>
              <w:rPr>
                <w:rFonts w:hint="default"/>
                <w:color w:val="auto"/>
                <w:lang w:eastAsia="zh-CN"/>
              </w:rPr>
              <w:t>、</w:t>
            </w:r>
            <w:r>
              <w:rPr>
                <w:rFonts w:hint="default"/>
                <w:color w:val="auto"/>
                <w:lang w:val="en-US" w:eastAsia="zh-CN"/>
              </w:rPr>
              <w:t>爬行类</w:t>
            </w:r>
            <w:r>
              <w:rPr>
                <w:rFonts w:hint="default"/>
                <w:color w:val="auto"/>
              </w:rPr>
              <w:t>动物等</w:t>
            </w:r>
            <w:r>
              <w:rPr>
                <w:rFonts w:hint="default"/>
                <w:color w:val="auto"/>
                <w:lang w:val="en-US" w:eastAsia="zh-CN"/>
              </w:rPr>
              <w:t>和一些常见鸟类</w:t>
            </w:r>
            <w:r>
              <w:rPr>
                <w:rFonts w:hint="default"/>
                <w:color w:val="auto"/>
              </w:rPr>
              <w:t>，项目区不是野生动物的唯一栖息地，</w:t>
            </w:r>
            <w:r>
              <w:rPr>
                <w:rFonts w:hint="eastAsia"/>
                <w:color w:val="auto"/>
                <w:lang w:val="en-US" w:eastAsia="zh-CN"/>
              </w:rPr>
              <w:t>施工期</w:t>
            </w:r>
            <w:r>
              <w:rPr>
                <w:rFonts w:hint="default"/>
                <w:color w:val="auto"/>
                <w:lang w:val="en-US" w:eastAsia="zh-CN"/>
              </w:rPr>
              <w:t>野生动物可迁移至周边类似的生境，且</w:t>
            </w:r>
            <w:r>
              <w:rPr>
                <w:rFonts w:hint="eastAsia"/>
                <w:color w:val="auto"/>
                <w:lang w:val="en-US" w:eastAsia="zh-CN"/>
              </w:rPr>
              <w:t>项目</w:t>
            </w:r>
            <w:r>
              <w:rPr>
                <w:rFonts w:hint="default"/>
                <w:color w:val="auto"/>
              </w:rPr>
              <w:t>占地面积较小</w:t>
            </w:r>
            <w:r>
              <w:rPr>
                <w:rFonts w:hint="default"/>
                <w:color w:val="auto"/>
                <w:lang w:eastAsia="zh-CN"/>
              </w:rPr>
              <w:t>，</w:t>
            </w:r>
            <w:r>
              <w:rPr>
                <w:rFonts w:hint="default"/>
                <w:color w:val="auto"/>
              </w:rPr>
              <w:t>施工结束后，</w:t>
            </w:r>
            <w:r>
              <w:rPr>
                <w:rFonts w:hint="eastAsia"/>
                <w:color w:val="auto"/>
                <w:lang w:val="en-US" w:eastAsia="zh-CN"/>
              </w:rPr>
              <w:t>随着</w:t>
            </w:r>
            <w:r>
              <w:rPr>
                <w:rFonts w:hint="default"/>
                <w:color w:val="auto"/>
              </w:rPr>
              <w:t>机械噪声</w:t>
            </w:r>
            <w:r>
              <w:rPr>
                <w:rFonts w:hint="default"/>
                <w:color w:val="auto"/>
                <w:lang w:eastAsia="zh-CN"/>
              </w:rPr>
              <w:t>、</w:t>
            </w:r>
            <w:r>
              <w:rPr>
                <w:rFonts w:hint="default"/>
                <w:color w:val="auto"/>
              </w:rPr>
              <w:t>人类活动</w:t>
            </w:r>
            <w:r>
              <w:rPr>
                <w:rFonts w:hint="default"/>
                <w:color w:val="auto"/>
                <w:lang w:val="en-US" w:eastAsia="zh-CN"/>
              </w:rPr>
              <w:t>影响消失</w:t>
            </w:r>
            <w:r>
              <w:rPr>
                <w:rFonts w:hint="eastAsia"/>
                <w:color w:val="auto"/>
                <w:lang w:val="en-US" w:eastAsia="zh-CN"/>
              </w:rPr>
              <w:t>，</w:t>
            </w:r>
            <w:r>
              <w:rPr>
                <w:rFonts w:hint="default"/>
                <w:color w:val="auto"/>
              </w:rPr>
              <w:t>野生动物可能逐渐返回原来的区域。故该建设项目对</w:t>
            </w:r>
            <w:r>
              <w:rPr>
                <w:rFonts w:hint="eastAsia"/>
                <w:color w:val="auto"/>
                <w:lang w:val="en-US" w:eastAsia="zh-CN"/>
              </w:rPr>
              <w:t>野生</w:t>
            </w:r>
            <w:r>
              <w:rPr>
                <w:rFonts w:hint="default"/>
                <w:color w:val="auto"/>
              </w:rPr>
              <w:t>动物</w:t>
            </w:r>
            <w:r>
              <w:rPr>
                <w:rFonts w:hint="default"/>
                <w:color w:val="auto"/>
                <w:lang w:val="en-US" w:eastAsia="zh-CN"/>
              </w:rPr>
              <w:t>影响较小</w:t>
            </w:r>
            <w:r>
              <w:rPr>
                <w:rFonts w:hint="default"/>
                <w:color w:val="auto"/>
              </w:rPr>
              <w:t>。</w:t>
            </w:r>
          </w:p>
          <w:p>
            <w:pPr>
              <w:pStyle w:val="10"/>
              <w:bidi w:val="0"/>
              <w:rPr>
                <w:rFonts w:hint="default"/>
                <w:color w:val="auto"/>
              </w:rPr>
            </w:pPr>
            <w:bookmarkStart w:id="80" w:name="_Hlk140835968"/>
            <w:r>
              <w:rPr>
                <w:rFonts w:hint="default"/>
                <w:color w:val="auto"/>
              </w:rPr>
              <w:t>（</w:t>
            </w:r>
            <w:r>
              <w:rPr>
                <w:rFonts w:hint="default"/>
                <w:color w:val="auto"/>
                <w:lang w:val="en-US" w:eastAsia="zh-CN"/>
              </w:rPr>
              <w:t>4</w:t>
            </w:r>
            <w:r>
              <w:rPr>
                <w:rFonts w:hint="default"/>
                <w:color w:val="auto"/>
              </w:rPr>
              <w:t>）土地沙化影响分析</w:t>
            </w:r>
          </w:p>
          <w:p>
            <w:pPr>
              <w:pStyle w:val="10"/>
              <w:bidi w:val="0"/>
              <w:rPr>
                <w:rFonts w:hint="default"/>
                <w:color w:val="auto"/>
              </w:rPr>
            </w:pPr>
            <w:r>
              <w:rPr>
                <w:rFonts w:hint="default"/>
                <w:color w:val="auto"/>
              </w:rPr>
              <w:t>项目实施过程中将会破坏占地范围内的土壤表层稳定结皮和地表荒漠植被，项目所在区域具有多风、降水量偏低等气候特征，地表</w:t>
            </w:r>
            <w:r>
              <w:rPr>
                <w:rFonts w:hint="eastAsia"/>
                <w:color w:val="auto"/>
                <w:lang w:val="en-US" w:eastAsia="zh-CN"/>
              </w:rPr>
              <w:t>植被和</w:t>
            </w:r>
            <w:r>
              <w:rPr>
                <w:rFonts w:hint="default"/>
                <w:color w:val="auto"/>
              </w:rPr>
              <w:t>稳定结皮被破坏后，在大风天气条件下，施工会使占地范围内的土地就地起沙，局部沙化趋势加重。但是由于项目占地范围较小，施工时间短，施工结束后对临时占地范围内场地进行平整和清理，对区域植被进行恢复。综上所述，本项目对区域土地沙化影响不大。</w:t>
            </w:r>
          </w:p>
          <w:p>
            <w:pPr>
              <w:pStyle w:val="10"/>
              <w:bidi w:val="0"/>
              <w:rPr>
                <w:rFonts w:hint="default"/>
                <w:color w:val="auto"/>
              </w:rPr>
            </w:pPr>
            <w:r>
              <w:rPr>
                <w:rFonts w:hint="default"/>
                <w:color w:val="auto"/>
              </w:rPr>
              <w:t>（</w:t>
            </w:r>
            <w:r>
              <w:rPr>
                <w:rFonts w:hint="default"/>
                <w:color w:val="auto"/>
                <w:lang w:val="en-US" w:eastAsia="zh-CN"/>
              </w:rPr>
              <w:t>5</w:t>
            </w:r>
            <w:r>
              <w:rPr>
                <w:rFonts w:hint="default"/>
                <w:color w:val="auto"/>
              </w:rPr>
              <w:t>）水土流失影响分析</w:t>
            </w:r>
          </w:p>
          <w:p>
            <w:pPr>
              <w:pStyle w:val="10"/>
              <w:bidi w:val="0"/>
              <w:rPr>
                <w:rFonts w:hint="default"/>
                <w:color w:val="auto"/>
              </w:rPr>
            </w:pPr>
            <w:r>
              <w:rPr>
                <w:rFonts w:hint="default"/>
                <w:color w:val="auto"/>
              </w:rPr>
              <w:t>施工过程中将破坏地表原有稳定结构，施工作业范围内的土壤表层遭到破坏，下层的粉细物质暴露在地层表面，降雨形成地表径流时可能会增加区域水蚀量。项目区以小到中雨为主，大雨较少，降雨大部分被干燥的地表土壤吸收及蒸发，剩余降雨量形成地表径流的可能性较小，不会明显增加区域水蚀量；且随着地表植被的恢复，水蚀量会随着地表新保护层的逐渐形成而减弱，水土流失的程度会慢慢减轻。</w:t>
            </w:r>
          </w:p>
          <w:bookmarkEnd w:id="80"/>
          <w:p>
            <w:pPr>
              <w:pStyle w:val="54"/>
              <w:bidi w:val="0"/>
              <w:rPr>
                <w:rFonts w:hint="default"/>
                <w:color w:val="auto"/>
              </w:rPr>
            </w:pPr>
            <w:r>
              <w:rPr>
                <w:rFonts w:hint="default"/>
                <w:color w:val="auto"/>
              </w:rPr>
              <w:t>大气环境影响分析</w:t>
            </w:r>
          </w:p>
          <w:p>
            <w:pPr>
              <w:pStyle w:val="69"/>
              <w:widowControl w:val="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本项目施工期</w:t>
            </w:r>
            <w:r>
              <w:rPr>
                <w:rFonts w:hint="default" w:ascii="Times New Roman" w:hAnsi="Times New Roman" w:cs="Times New Roman"/>
                <w:color w:val="auto"/>
                <w:highlight w:val="none"/>
              </w:rPr>
              <w:t>废气主要为施工扬尘、柴油机</w:t>
            </w:r>
            <w:r>
              <w:rPr>
                <w:rFonts w:hint="default" w:ascii="Times New Roman" w:hAnsi="Times New Roman" w:cs="Times New Roman"/>
                <w:color w:val="auto"/>
                <w:highlight w:val="none"/>
                <w:lang w:val="en-US" w:eastAsia="zh-CN"/>
              </w:rPr>
              <w:t>和</w:t>
            </w:r>
            <w:r>
              <w:rPr>
                <w:rFonts w:hint="default" w:ascii="Times New Roman" w:hAnsi="Times New Roman" w:cs="Times New Roman"/>
                <w:color w:val="auto"/>
                <w:highlight w:val="none"/>
              </w:rPr>
              <w:t>发电机燃料燃烧</w:t>
            </w:r>
            <w:r>
              <w:rPr>
                <w:rFonts w:hint="default" w:ascii="Times New Roman" w:hAnsi="Times New Roman" w:cs="Times New Roman"/>
                <w:color w:val="auto"/>
                <w:highlight w:val="none"/>
                <w:lang w:val="en-US" w:eastAsia="zh-CN"/>
              </w:rPr>
              <w:t>废</w:t>
            </w:r>
            <w:r>
              <w:rPr>
                <w:rFonts w:hint="default" w:ascii="Times New Roman" w:hAnsi="Times New Roman" w:cs="Times New Roman"/>
                <w:color w:val="auto"/>
                <w:highlight w:val="none"/>
              </w:rPr>
              <w:t>气、施工机械及车辆尾气、伴生气燃烧</w:t>
            </w:r>
            <w:r>
              <w:rPr>
                <w:rFonts w:hint="default" w:ascii="Times New Roman" w:hAnsi="Times New Roman" w:cs="Times New Roman"/>
                <w:color w:val="auto"/>
                <w:highlight w:val="none"/>
                <w:lang w:val="en-US" w:eastAsia="zh-CN"/>
              </w:rPr>
              <w:t>废气</w:t>
            </w:r>
            <w:r>
              <w:rPr>
                <w:rFonts w:hint="default" w:ascii="Times New Roman" w:hAnsi="Times New Roman" w:cs="Times New Roman"/>
                <w:color w:val="auto"/>
                <w:highlight w:val="none"/>
              </w:rPr>
              <w:t>、油基钻井岩屑暂存时无组织挥发性有机物</w:t>
            </w:r>
            <w:r>
              <w:rPr>
                <w:rFonts w:hint="eastAsia" w:cs="Times New Roman"/>
                <w:color w:val="auto"/>
                <w:highlight w:val="none"/>
                <w:lang w:eastAsia="zh-CN"/>
              </w:rPr>
              <w:t>、</w:t>
            </w:r>
            <w:r>
              <w:rPr>
                <w:rFonts w:hint="default" w:ascii="Times New Roman" w:hAnsi="Times New Roman" w:cs="Times New Roman"/>
                <w:color w:val="auto"/>
                <w:highlight w:val="none"/>
              </w:rPr>
              <w:t>试油期采出液储存及装车过程中无组织逸散废气。</w:t>
            </w:r>
          </w:p>
          <w:p>
            <w:pPr>
              <w:pStyle w:val="10"/>
              <w:ind w:firstLine="480"/>
              <w:rPr>
                <w:rFonts w:hint="default" w:ascii="Times New Roman" w:hAnsi="Times New Roman" w:cs="Times New Roman"/>
                <w:b w:val="0"/>
                <w:bCs w:val="0"/>
                <w:color w:val="auto"/>
              </w:rPr>
            </w:pPr>
            <w:r>
              <w:rPr>
                <w:rFonts w:hint="default" w:ascii="Times New Roman" w:hAnsi="Times New Roman" w:cs="Times New Roman"/>
                <w:b w:val="0"/>
                <w:bCs w:val="0"/>
                <w:color w:val="auto"/>
              </w:rPr>
              <w:t>（</w:t>
            </w:r>
            <w:r>
              <w:rPr>
                <w:rFonts w:hint="default" w:ascii="Times New Roman" w:hAnsi="Times New Roman" w:cs="Times New Roman"/>
                <w:b w:val="0"/>
                <w:bCs w:val="0"/>
                <w:color w:val="auto"/>
                <w:lang w:val="en-US" w:eastAsia="zh-CN"/>
              </w:rPr>
              <w:t>1</w:t>
            </w:r>
            <w:r>
              <w:rPr>
                <w:rFonts w:hint="default" w:ascii="Times New Roman" w:hAnsi="Times New Roman" w:cs="Times New Roman"/>
                <w:b w:val="0"/>
                <w:bCs w:val="0"/>
                <w:color w:val="auto"/>
              </w:rPr>
              <w:t>）施工扬尘</w:t>
            </w:r>
          </w:p>
          <w:p>
            <w:pPr>
              <w:pStyle w:val="10"/>
              <w:ind w:firstLine="480"/>
              <w:rPr>
                <w:rFonts w:hint="default" w:ascii="Times New Roman" w:hAnsi="Times New Roman" w:cs="Times New Roman"/>
                <w:b w:val="0"/>
                <w:bCs w:val="0"/>
                <w:color w:val="auto"/>
              </w:rPr>
            </w:pPr>
            <w:r>
              <w:rPr>
                <w:rFonts w:hint="default" w:ascii="Times New Roman" w:hAnsi="Times New Roman" w:cs="Times New Roman"/>
                <w:b w:val="0"/>
                <w:bCs w:val="0"/>
                <w:color w:val="auto"/>
                <w:lang w:val="en-US" w:eastAsia="zh-CN"/>
              </w:rPr>
              <w:t>本项目对场地平整、</w:t>
            </w:r>
            <w:r>
              <w:rPr>
                <w:rFonts w:hint="default" w:ascii="Times New Roman" w:hAnsi="Times New Roman" w:cs="Times New Roman"/>
                <w:b w:val="0"/>
                <w:bCs w:val="0"/>
                <w:color w:val="auto"/>
              </w:rPr>
              <w:t>井场、</w:t>
            </w:r>
            <w:r>
              <w:rPr>
                <w:rFonts w:hint="eastAsia" w:ascii="Times New Roman" w:hAnsi="Times New Roman" w:cs="Times New Roman"/>
                <w:b w:val="0"/>
                <w:bCs w:val="0"/>
                <w:color w:val="auto"/>
                <w:lang w:eastAsia="zh-CN"/>
              </w:rPr>
              <w:t>探临道路</w:t>
            </w:r>
            <w:r>
              <w:rPr>
                <w:rFonts w:hint="default" w:ascii="Times New Roman" w:hAnsi="Times New Roman" w:cs="Times New Roman"/>
                <w:b w:val="0"/>
                <w:bCs w:val="0"/>
                <w:color w:val="auto"/>
              </w:rPr>
              <w:t>、生活营地等建设及施工运输车辆会产生扬尘，对周围大气环境产生一定的影响；施工期加强管理、对易起尘物料进行</w:t>
            </w:r>
            <w:r>
              <w:rPr>
                <w:rFonts w:hint="default" w:ascii="Times New Roman" w:hAnsi="Times New Roman" w:cs="Times New Roman"/>
                <w:b w:val="0"/>
                <w:bCs w:val="0"/>
                <w:color w:val="auto"/>
                <w:lang w:val="en-US" w:eastAsia="zh-CN"/>
              </w:rPr>
              <w:t>苫盖</w:t>
            </w:r>
            <w:r>
              <w:rPr>
                <w:rFonts w:hint="default" w:ascii="Times New Roman" w:hAnsi="Times New Roman" w:cs="Times New Roman"/>
                <w:b w:val="0"/>
                <w:bCs w:val="0"/>
                <w:color w:val="auto"/>
              </w:rPr>
              <w:t>、车辆低速慢行</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lang w:val="en-US" w:eastAsia="zh-CN"/>
              </w:rPr>
              <w:t>合理安排施工时间，避开大风天气进行施工</w:t>
            </w:r>
            <w:r>
              <w:rPr>
                <w:rFonts w:hint="default" w:ascii="Times New Roman" w:hAnsi="Times New Roman" w:cs="Times New Roman"/>
                <w:b w:val="0"/>
                <w:bCs w:val="0"/>
                <w:color w:val="auto"/>
              </w:rPr>
              <w:t>等措施</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扬尘随着施工期结束而消失，对周围大气环境</w:t>
            </w:r>
            <w:r>
              <w:rPr>
                <w:rFonts w:hint="default" w:ascii="Times New Roman" w:hAnsi="Times New Roman" w:cs="Times New Roman"/>
                <w:b w:val="0"/>
                <w:bCs w:val="0"/>
                <w:color w:val="auto"/>
                <w:lang w:val="en-US" w:eastAsia="zh-CN"/>
              </w:rPr>
              <w:t>影响较小</w:t>
            </w:r>
            <w:r>
              <w:rPr>
                <w:rFonts w:hint="default" w:ascii="Times New Roman" w:hAnsi="Times New Roman" w:cs="Times New Roman"/>
                <w:b w:val="0"/>
                <w:bCs w:val="0"/>
                <w:color w:val="auto"/>
              </w:rPr>
              <w:t>。</w:t>
            </w:r>
          </w:p>
          <w:p>
            <w:pPr>
              <w:pStyle w:val="10"/>
              <w:bidi w:val="0"/>
              <w:rPr>
                <w:rFonts w:hint="default"/>
                <w:color w:val="auto"/>
              </w:rPr>
            </w:pPr>
            <w:r>
              <w:rPr>
                <w:rFonts w:hint="default"/>
                <w:color w:val="auto"/>
              </w:rPr>
              <w:t>（</w:t>
            </w:r>
            <w:r>
              <w:rPr>
                <w:rFonts w:hint="default"/>
                <w:color w:val="auto"/>
                <w:lang w:val="en-US" w:eastAsia="zh-CN"/>
              </w:rPr>
              <w:t>2</w:t>
            </w:r>
            <w:r>
              <w:rPr>
                <w:rFonts w:hint="default"/>
                <w:color w:val="auto"/>
              </w:rPr>
              <w:t>）柴油机、发电机燃料燃烧烟气</w:t>
            </w:r>
          </w:p>
          <w:p>
            <w:pPr>
              <w:pStyle w:val="10"/>
              <w:bidi w:val="0"/>
              <w:rPr>
                <w:rFonts w:hint="default"/>
                <w:color w:val="auto"/>
              </w:rPr>
            </w:pPr>
            <w:r>
              <w:rPr>
                <w:rFonts w:hint="default"/>
                <w:color w:val="auto"/>
              </w:rPr>
              <w:t>施工期井场动力系统设柴油机和柴油发电机为钻机及井场提供动力、电力和照明，消耗的燃料为柴油。根据设计资料，柴油消耗量为</w:t>
            </w:r>
            <w:r>
              <w:rPr>
                <w:rFonts w:hint="default"/>
                <w:color w:val="auto"/>
                <w:lang w:val="en-US" w:eastAsia="zh-CN"/>
              </w:rPr>
              <w:t>1</w:t>
            </w:r>
            <w:r>
              <w:rPr>
                <w:rFonts w:hint="eastAsia"/>
                <w:color w:val="auto"/>
                <w:lang w:val="en-US" w:eastAsia="zh-CN"/>
              </w:rPr>
              <w:t>40</w:t>
            </w:r>
            <w:r>
              <w:rPr>
                <w:rFonts w:hint="default"/>
                <w:color w:val="auto"/>
                <w:lang w:val="en-US" w:eastAsia="zh-CN"/>
              </w:rPr>
              <w:t>t</w:t>
            </w:r>
            <w:r>
              <w:rPr>
                <w:rFonts w:hint="default"/>
                <w:color w:val="auto"/>
              </w:rPr>
              <w:t>。柴油燃烧产生</w:t>
            </w:r>
            <w:r>
              <w:rPr>
                <w:rFonts w:hint="default"/>
                <w:color w:val="auto"/>
                <w:lang w:val="en-US" w:eastAsia="zh-CN"/>
              </w:rPr>
              <w:t>的</w:t>
            </w:r>
            <w:r>
              <w:rPr>
                <w:rFonts w:hint="default"/>
                <w:color w:val="auto"/>
              </w:rPr>
              <w:t>烟气以无组织形式逸散，烟气中主要污染物为二氧化硫、氮氧化物</w:t>
            </w:r>
            <w:r>
              <w:rPr>
                <w:rFonts w:hint="eastAsia"/>
                <w:color w:val="auto"/>
                <w:lang w:eastAsia="zh-CN"/>
              </w:rPr>
              <w:t>、</w:t>
            </w:r>
            <w:r>
              <w:rPr>
                <w:rFonts w:hint="default"/>
                <w:color w:val="auto"/>
              </w:rPr>
              <w:t>总烃</w:t>
            </w:r>
            <w:r>
              <w:rPr>
                <w:rFonts w:hint="eastAsia"/>
                <w:color w:val="auto"/>
                <w:lang w:val="en-US" w:eastAsia="zh-CN"/>
              </w:rPr>
              <w:t>和颗粒物</w:t>
            </w:r>
            <w:r>
              <w:rPr>
                <w:rFonts w:hint="default"/>
                <w:color w:val="auto"/>
              </w:rPr>
              <w:t>等。</w:t>
            </w:r>
            <w:r>
              <w:rPr>
                <w:rFonts w:hint="default"/>
                <w:color w:val="auto"/>
                <w:lang w:val="en-US" w:eastAsia="zh-CN"/>
              </w:rPr>
              <w:t>本</w:t>
            </w:r>
            <w:r>
              <w:rPr>
                <w:rFonts w:hint="default"/>
                <w:color w:val="auto"/>
              </w:rPr>
              <w:t>项目区地域空旷，周围扩散条件良好，且废气随施工的结束而消失。因此，对区域大气环境影响</w:t>
            </w:r>
            <w:r>
              <w:rPr>
                <w:rFonts w:hint="default"/>
                <w:color w:val="auto"/>
                <w:lang w:val="en-US" w:eastAsia="zh-CN"/>
              </w:rPr>
              <w:t>较小</w:t>
            </w:r>
            <w:r>
              <w:rPr>
                <w:rFonts w:hint="default"/>
                <w:color w:val="auto"/>
              </w:rPr>
              <w:t>。</w:t>
            </w:r>
          </w:p>
          <w:p>
            <w:pPr>
              <w:pStyle w:val="10"/>
              <w:ind w:firstLine="480"/>
              <w:rPr>
                <w:rFonts w:hint="default" w:ascii="Times New Roman" w:hAnsi="Times New Roman" w:cs="Times New Roman"/>
                <w:b w:val="0"/>
                <w:bCs w:val="0"/>
                <w:color w:val="auto"/>
              </w:rPr>
            </w:pPr>
            <w:r>
              <w:rPr>
                <w:rFonts w:hint="default" w:ascii="Times New Roman" w:hAnsi="Times New Roman" w:cs="Times New Roman"/>
                <w:b w:val="0"/>
                <w:bCs w:val="0"/>
                <w:color w:val="auto"/>
              </w:rPr>
              <w:t>（</w:t>
            </w:r>
            <w:r>
              <w:rPr>
                <w:rFonts w:hint="default" w:ascii="Times New Roman" w:hAnsi="Times New Roman" w:cs="Times New Roman"/>
                <w:b w:val="0"/>
                <w:bCs w:val="0"/>
                <w:color w:val="auto"/>
                <w:lang w:val="en-US" w:eastAsia="zh-CN"/>
              </w:rPr>
              <w:t>3</w:t>
            </w:r>
            <w:r>
              <w:rPr>
                <w:rFonts w:hint="default" w:ascii="Times New Roman" w:hAnsi="Times New Roman" w:cs="Times New Roman"/>
                <w:b w:val="0"/>
                <w:bCs w:val="0"/>
                <w:color w:val="auto"/>
              </w:rPr>
              <w:t>）施工机械及车辆尾气</w:t>
            </w:r>
          </w:p>
          <w:p>
            <w:pPr>
              <w:pStyle w:val="10"/>
              <w:ind w:firstLine="480"/>
              <w:rPr>
                <w:rFonts w:hint="default" w:ascii="Times New Roman" w:hAnsi="Times New Roman" w:eastAsia="宋体" w:cs="Times New Roman"/>
                <w:b w:val="0"/>
                <w:bCs w:val="0"/>
                <w:color w:val="auto"/>
              </w:rPr>
            </w:pPr>
            <w:r>
              <w:rPr>
                <w:rFonts w:hint="default" w:ascii="Times New Roman" w:hAnsi="Times New Roman" w:cs="Times New Roman"/>
                <w:b w:val="0"/>
                <w:bCs w:val="0"/>
                <w:color w:val="auto"/>
              </w:rPr>
              <w:t>施工机械及车辆运行过程中会产生一定的尾气，</w:t>
            </w:r>
            <w:r>
              <w:rPr>
                <w:rFonts w:hint="default"/>
                <w:color w:val="auto"/>
              </w:rPr>
              <w:t>主要污染物为二氧化硫、氮氧化物</w:t>
            </w:r>
            <w:r>
              <w:rPr>
                <w:rFonts w:hint="eastAsia" w:eastAsia="宋体"/>
                <w:color w:val="auto"/>
                <w:lang w:eastAsia="zh-CN"/>
              </w:rPr>
              <w:t>、</w:t>
            </w:r>
            <w:r>
              <w:rPr>
                <w:rFonts w:hint="default"/>
                <w:color w:val="auto"/>
              </w:rPr>
              <w:t>总烃</w:t>
            </w:r>
            <w:r>
              <w:rPr>
                <w:rFonts w:hint="eastAsia" w:ascii="Times New Roman" w:eastAsia="宋体"/>
                <w:color w:val="auto"/>
                <w:lang w:val="en-US" w:eastAsia="zh-CN"/>
              </w:rPr>
              <w:t>和颗粒物</w:t>
            </w:r>
            <w:r>
              <w:rPr>
                <w:rFonts w:hint="default"/>
                <w:color w:val="auto"/>
              </w:rPr>
              <w:t>等。</w:t>
            </w:r>
            <w:r>
              <w:rPr>
                <w:rFonts w:hint="default" w:ascii="Times New Roman" w:hAnsi="Times New Roman" w:cs="Times New Roman"/>
                <w:b w:val="0"/>
                <w:bCs w:val="0"/>
                <w:color w:val="auto"/>
              </w:rPr>
              <w:t>对周围大气环境产生一定的影响；各类施工机械及施工车辆均采用符合国家标准的油品，定期对施工机械及车辆</w:t>
            </w:r>
            <w:r>
              <w:rPr>
                <w:rFonts w:hint="eastAsia" w:ascii="Times New Roman" w:hAnsi="Times New Roman" w:cs="Times New Roman"/>
                <w:b w:val="0"/>
                <w:bCs w:val="0"/>
                <w:color w:val="auto"/>
                <w:lang w:val="en-US" w:eastAsia="zh-CN"/>
              </w:rPr>
              <w:t>维护、</w:t>
            </w:r>
            <w:r>
              <w:rPr>
                <w:rFonts w:hint="default" w:ascii="Times New Roman" w:hAnsi="Times New Roman" w:cs="Times New Roman"/>
                <w:b w:val="0"/>
                <w:bCs w:val="0"/>
                <w:color w:val="auto"/>
              </w:rPr>
              <w:t>保养，保证施工机械及车辆正常运行，且废气随着施工期的结束而消失</w:t>
            </w:r>
            <w:r>
              <w:rPr>
                <w:rFonts w:hint="default" w:ascii="Times New Roman" w:hAnsi="Times New Roman" w:eastAsia="宋体" w:cs="Times New Roman"/>
                <w:b w:val="0"/>
                <w:bCs w:val="0"/>
                <w:color w:val="auto"/>
              </w:rPr>
              <w:t>，对周围大气环境影响</w:t>
            </w:r>
            <w:bookmarkStart w:id="81" w:name="OLE_LINK21"/>
            <w:r>
              <w:rPr>
                <w:rFonts w:hint="default" w:ascii="Times New Roman" w:hAnsi="Times New Roman" w:eastAsia="宋体" w:cs="Times New Roman"/>
                <w:b w:val="0"/>
                <w:bCs w:val="0"/>
                <w:color w:val="auto"/>
                <w:lang w:val="en-US" w:eastAsia="zh-CN"/>
              </w:rPr>
              <w:t>较小</w:t>
            </w:r>
            <w:bookmarkEnd w:id="81"/>
            <w:r>
              <w:rPr>
                <w:rFonts w:hint="default" w:ascii="Times New Roman" w:hAnsi="Times New Roman" w:eastAsia="宋体" w:cs="Times New Roman"/>
                <w:b w:val="0"/>
                <w:bCs w:val="0"/>
                <w:color w:val="auto"/>
              </w:rPr>
              <w:t>。</w:t>
            </w:r>
          </w:p>
          <w:p>
            <w:pPr>
              <w:pStyle w:val="10"/>
              <w:ind w:firstLine="480"/>
              <w:rPr>
                <w:rFonts w:hint="default" w:ascii="Times New Roman" w:hAnsi="Times New Roman" w:cs="Times New Roman"/>
                <w:b w:val="0"/>
                <w:bCs w:val="0"/>
                <w:color w:val="auto"/>
              </w:rPr>
            </w:pPr>
            <w:r>
              <w:rPr>
                <w:rFonts w:hint="default" w:ascii="Times New Roman" w:hAnsi="Times New Roman" w:cs="Times New Roman"/>
                <w:b w:val="0"/>
                <w:bCs w:val="0"/>
                <w:color w:val="auto"/>
              </w:rPr>
              <w:t>（4）伴生气燃烧烟气</w:t>
            </w:r>
          </w:p>
          <w:p>
            <w:pPr>
              <w:pStyle w:val="10"/>
              <w:ind w:firstLine="480"/>
              <w:rPr>
                <w:rFonts w:hint="default" w:ascii="Times New Roman" w:hAnsi="Times New Roman" w:cs="Times New Roman"/>
                <w:b w:val="0"/>
                <w:bCs w:val="0"/>
                <w:color w:val="auto"/>
              </w:rPr>
            </w:pPr>
            <w:r>
              <w:rPr>
                <w:rFonts w:hint="default" w:ascii="Times New Roman" w:hAnsi="Times New Roman" w:cs="Times New Roman"/>
                <w:b w:val="0"/>
                <w:bCs w:val="0"/>
                <w:color w:val="auto"/>
              </w:rPr>
              <w:t>本项目为矿产资源地质勘探项目，目的是获取地层油气藏参数，</w:t>
            </w:r>
            <w:r>
              <w:rPr>
                <w:rFonts w:hint="default" w:ascii="Times New Roman" w:hAnsi="Times New Roman" w:cs="Times New Roman"/>
                <w:b w:val="0"/>
                <w:bCs w:val="0"/>
                <w:color w:val="auto"/>
                <w:lang w:val="en-US" w:eastAsia="zh-CN"/>
              </w:rPr>
              <w:t>为后期油气开发提供基础数据</w:t>
            </w:r>
            <w:r>
              <w:rPr>
                <w:rFonts w:hint="default" w:ascii="Times New Roman" w:hAnsi="Times New Roman" w:cs="Times New Roman"/>
                <w:b w:val="0"/>
                <w:bCs w:val="0"/>
                <w:color w:val="auto"/>
              </w:rPr>
              <w:t>，试油期产生的伴生气产量不稳定，不具备回收利</w:t>
            </w:r>
            <w:bookmarkStart w:id="82" w:name="_Hlk170206616"/>
            <w:r>
              <w:rPr>
                <w:rFonts w:hint="default" w:ascii="Times New Roman" w:hAnsi="Times New Roman" w:cs="Times New Roman"/>
                <w:b w:val="0"/>
                <w:bCs w:val="0"/>
                <w:color w:val="auto"/>
              </w:rPr>
              <w:t>用条件，通过排气管线充分燃烧后放空，燃烧烟气的主要污染物为二氧化硫、氮氧化物、总烃和颗粒物，</w:t>
            </w:r>
            <w:r>
              <w:rPr>
                <w:rFonts w:hint="default" w:ascii="Times New Roman" w:hAnsi="Times New Roman" w:cs="Times New Roman"/>
                <w:b w:val="0"/>
                <w:bCs w:val="0"/>
                <w:color w:val="auto"/>
                <w:lang w:val="en-US" w:eastAsia="zh-CN"/>
              </w:rPr>
              <w:t>其中</w:t>
            </w:r>
            <w:r>
              <w:rPr>
                <w:rFonts w:hint="default" w:ascii="Times New Roman" w:hAnsi="Times New Roman" w:cs="Times New Roman"/>
                <w:b w:val="0"/>
                <w:bCs w:val="0"/>
                <w:color w:val="auto"/>
              </w:rPr>
              <w:t>非甲烷总烃应满足《陆上石油天然气开采工业大气污染物排放标准》（GB39728-2020）要求，其余污染物应满足《大气污染物综合排放标准》（GB16297-1996）相关要求。由于燃烧烟气属于阶段性排放，且随着试油结束而停止产生。井场周边无集中居民区，地域空旷、扩散条件良好，不会对周围大气环境产生明显不利影响。</w:t>
            </w:r>
          </w:p>
          <w:p>
            <w:pPr>
              <w:spacing w:line="500" w:lineRule="exact"/>
              <w:ind w:firstLine="480"/>
              <w:rPr>
                <w:rFonts w:hint="default" w:ascii="Times New Roman" w:hAnsi="Times New Roman" w:eastAsia="宋体" w:cs="Times New Roman"/>
                <w:color w:val="auto"/>
                <w:spacing w:val="0"/>
                <w:sz w:val="24"/>
              </w:rPr>
            </w:pPr>
            <w:r>
              <w:rPr>
                <w:rFonts w:hint="eastAsia" w:ascii="Times New Roman" w:hAnsi="Times New Roman" w:eastAsia="宋体" w:cs="Times New Roman"/>
                <w:color w:val="auto"/>
                <w:spacing w:val="0"/>
                <w:sz w:val="24"/>
                <w:lang w:eastAsia="zh-CN"/>
              </w:rPr>
              <w:t>（</w:t>
            </w:r>
            <w:r>
              <w:rPr>
                <w:rFonts w:hint="eastAsia" w:ascii="Times New Roman" w:hAnsi="Times New Roman" w:eastAsia="宋体" w:cs="Times New Roman"/>
                <w:color w:val="auto"/>
                <w:spacing w:val="0"/>
                <w:sz w:val="24"/>
                <w:lang w:val="en-US" w:eastAsia="zh-CN"/>
              </w:rPr>
              <w:t>5</w:t>
            </w:r>
            <w:r>
              <w:rPr>
                <w:rFonts w:hint="eastAsia" w:ascii="Times New Roman" w:hAnsi="Times New Roman" w:eastAsia="宋体" w:cs="Times New Roman"/>
                <w:color w:val="auto"/>
                <w:spacing w:val="0"/>
                <w:sz w:val="24"/>
                <w:lang w:eastAsia="zh-CN"/>
              </w:rPr>
              <w:t>）</w:t>
            </w:r>
            <w:r>
              <w:rPr>
                <w:rFonts w:hint="default" w:ascii="Times New Roman" w:hAnsi="Times New Roman" w:eastAsia="宋体" w:cs="Times New Roman"/>
                <w:color w:val="auto"/>
                <w:spacing w:val="0"/>
                <w:sz w:val="24"/>
              </w:rPr>
              <w:t>油基钻井岩屑暂存时无组织挥发性有机物</w:t>
            </w:r>
          </w:p>
          <w:p>
            <w:pPr>
              <w:widowControl/>
              <w:snapToGrid w:val="0"/>
              <w:spacing w:line="500" w:lineRule="exact"/>
              <w:ind w:firstLine="480" w:firstLineChars="200"/>
              <w:rPr>
                <w:rFonts w:hint="default" w:ascii="Times New Roman" w:hAnsi="Times New Roman" w:eastAsia="宋体" w:cs="Times New Roman"/>
                <w:color w:val="auto"/>
                <w:spacing w:val="0"/>
                <w:kern w:val="0"/>
                <w:sz w:val="24"/>
              </w:rPr>
            </w:pPr>
            <w:r>
              <w:rPr>
                <w:rFonts w:hint="default" w:ascii="Times New Roman" w:hAnsi="Times New Roman" w:eastAsia="宋体" w:cs="Times New Roman"/>
                <w:color w:val="auto"/>
                <w:spacing w:val="0"/>
                <w:kern w:val="0"/>
                <w:sz w:val="24"/>
                <w:szCs w:val="20"/>
              </w:rPr>
              <w:t>油基岩屑采用专用储罐在井场暂存，</w:t>
            </w:r>
            <w:bookmarkStart w:id="83" w:name="OLE_LINK53"/>
            <w:r>
              <w:rPr>
                <w:rFonts w:hint="default" w:ascii="Times New Roman" w:hAnsi="Times New Roman" w:eastAsia="宋体" w:cs="Times New Roman"/>
                <w:color w:val="auto"/>
                <w:spacing w:val="0"/>
                <w:kern w:val="0"/>
                <w:sz w:val="24"/>
                <w:szCs w:val="20"/>
              </w:rPr>
              <w:t>油基岩屑中的油类物质为白油，主要成分为C</w:t>
            </w:r>
            <w:r>
              <w:rPr>
                <w:rFonts w:hint="default" w:ascii="Times New Roman" w:hAnsi="Times New Roman" w:eastAsia="宋体" w:cs="Times New Roman"/>
                <w:color w:val="auto"/>
                <w:spacing w:val="0"/>
                <w:kern w:val="0"/>
                <w:sz w:val="24"/>
                <w:szCs w:val="20"/>
                <w:vertAlign w:val="subscript"/>
              </w:rPr>
              <w:t>16</w:t>
            </w:r>
            <w:r>
              <w:rPr>
                <w:rFonts w:hint="default" w:ascii="Times New Roman" w:hAnsi="Times New Roman" w:eastAsia="宋体" w:cs="Times New Roman"/>
                <w:color w:val="auto"/>
                <w:spacing w:val="0"/>
                <w:kern w:val="0"/>
                <w:sz w:val="24"/>
                <w:szCs w:val="20"/>
                <w:vertAlign w:val="baseline"/>
              </w:rPr>
              <w:t>～</w:t>
            </w:r>
            <w:r>
              <w:rPr>
                <w:rFonts w:hint="default" w:ascii="Times New Roman" w:hAnsi="Times New Roman" w:eastAsia="宋体" w:cs="Times New Roman"/>
                <w:color w:val="auto"/>
                <w:spacing w:val="0"/>
                <w:kern w:val="0"/>
                <w:sz w:val="24"/>
                <w:szCs w:val="20"/>
              </w:rPr>
              <w:t>C</w:t>
            </w:r>
            <w:r>
              <w:rPr>
                <w:rFonts w:hint="default" w:ascii="Times New Roman" w:hAnsi="Times New Roman" w:eastAsia="宋体" w:cs="Times New Roman"/>
                <w:color w:val="auto"/>
                <w:spacing w:val="0"/>
                <w:kern w:val="0"/>
                <w:sz w:val="24"/>
                <w:szCs w:val="20"/>
                <w:vertAlign w:val="subscript"/>
              </w:rPr>
              <w:t>20</w:t>
            </w:r>
            <w:r>
              <w:rPr>
                <w:rFonts w:hint="default" w:ascii="Times New Roman" w:hAnsi="Times New Roman" w:eastAsia="宋体" w:cs="Times New Roman"/>
                <w:color w:val="auto"/>
                <w:spacing w:val="0"/>
                <w:kern w:val="0"/>
                <w:sz w:val="24"/>
                <w:szCs w:val="20"/>
              </w:rPr>
              <w:t>正构烷烃。根据资料，20℃、1标准大气压时正十六烷的饱和蒸气压＜0.1hpa，小于《挥发性有机物无组织排放控制标准》（GB 37822-2019）中的0.3kpa，因此不属于挥发性有机液体。</w:t>
            </w:r>
            <w:bookmarkEnd w:id="83"/>
            <w:r>
              <w:rPr>
                <w:rFonts w:hint="default" w:ascii="Times New Roman" w:hAnsi="Times New Roman" w:eastAsia="宋体" w:cs="Times New Roman"/>
                <w:color w:val="auto"/>
                <w:spacing w:val="0"/>
                <w:kern w:val="0"/>
                <w:sz w:val="24"/>
                <w:szCs w:val="20"/>
              </w:rPr>
              <w:t>类比新疆油田其他类似钻井井场，井场场界外非甲烷总烃的浓度低于《陆上石油天然气开采工业大气污染物排放标准》（GB39728-2020）周界外无组织排放浓度限值4.0mg/m</w:t>
            </w:r>
            <w:r>
              <w:rPr>
                <w:rFonts w:hint="default" w:ascii="Times New Roman" w:hAnsi="Times New Roman" w:eastAsia="宋体" w:cs="Times New Roman"/>
                <w:color w:val="auto"/>
                <w:spacing w:val="0"/>
                <w:kern w:val="0"/>
                <w:sz w:val="24"/>
                <w:szCs w:val="20"/>
                <w:vertAlign w:val="superscript"/>
              </w:rPr>
              <w:t>3</w:t>
            </w:r>
            <w:r>
              <w:rPr>
                <w:rFonts w:hint="default" w:ascii="Times New Roman" w:hAnsi="Times New Roman" w:eastAsia="宋体" w:cs="Times New Roman"/>
                <w:color w:val="auto"/>
                <w:spacing w:val="0"/>
                <w:kern w:val="0"/>
                <w:sz w:val="24"/>
                <w:szCs w:val="20"/>
              </w:rPr>
              <w:t>的要求</w:t>
            </w:r>
            <w:r>
              <w:rPr>
                <w:rFonts w:hint="default" w:ascii="Times New Roman" w:hAnsi="Times New Roman" w:eastAsia="宋体" w:cs="Times New Roman"/>
                <w:color w:val="auto"/>
                <w:spacing w:val="0"/>
                <w:kern w:val="0"/>
                <w:sz w:val="24"/>
              </w:rPr>
              <w:t>。</w:t>
            </w:r>
          </w:p>
          <w:p>
            <w:pPr>
              <w:pStyle w:val="10"/>
              <w:ind w:firstLine="480"/>
              <w:rPr>
                <w:rFonts w:hint="default" w:ascii="Times New Roman" w:hAnsi="Times New Roman" w:cs="Times New Roman"/>
                <w:b w:val="0"/>
                <w:bCs w:val="0"/>
                <w:color w:val="auto"/>
              </w:rPr>
            </w:pPr>
            <w:r>
              <w:rPr>
                <w:rFonts w:hint="default" w:ascii="Times New Roman" w:hAnsi="Times New Roman" w:cs="Times New Roman"/>
                <w:b w:val="0"/>
                <w:bCs w:val="0"/>
                <w:color w:val="auto"/>
              </w:rPr>
              <w:t>（</w:t>
            </w:r>
            <w:r>
              <w:rPr>
                <w:rFonts w:hint="eastAsia" w:cs="Times New Roman"/>
                <w:b w:val="0"/>
                <w:bCs w:val="0"/>
                <w:color w:val="auto"/>
                <w:lang w:val="en-US" w:eastAsia="zh-CN"/>
              </w:rPr>
              <w:t>6</w:t>
            </w:r>
            <w:r>
              <w:rPr>
                <w:rFonts w:hint="default" w:ascii="Times New Roman" w:hAnsi="Times New Roman" w:cs="Times New Roman"/>
                <w:b w:val="0"/>
                <w:bCs w:val="0"/>
                <w:color w:val="auto"/>
              </w:rPr>
              <w:t>）采出液储存及装车过程的无组织废气</w:t>
            </w:r>
          </w:p>
          <w:p>
            <w:pPr>
              <w:pStyle w:val="10"/>
              <w:ind w:firstLine="480"/>
              <w:rPr>
                <w:rFonts w:hint="default" w:ascii="Times New Roman" w:hAnsi="Times New Roman" w:cs="Times New Roman"/>
                <w:b w:val="0"/>
                <w:bCs w:val="0"/>
                <w:color w:val="auto"/>
              </w:rPr>
            </w:pPr>
            <w:r>
              <w:rPr>
                <w:rFonts w:hint="default" w:ascii="Times New Roman" w:hAnsi="Times New Roman" w:cs="Times New Roman"/>
                <w:b w:val="0"/>
                <w:bCs w:val="0"/>
                <w:color w:val="auto"/>
              </w:rPr>
              <w:t>试油期产生的采出液暂存于地面储罐，由罐车定期拉运至石西集中处理站处理，采出液在储存及装车过程中会产生无组织挥发烃类（以非甲烷总烃计）和</w:t>
            </w:r>
            <w:r>
              <w:rPr>
                <w:rFonts w:hint="default" w:ascii="Times New Roman" w:hAnsi="Times New Roman" w:cs="Times New Roman"/>
                <w:b w:val="0"/>
                <w:bCs w:val="0"/>
                <w:color w:val="auto"/>
                <w:lang w:val="en-US" w:eastAsia="zh-CN"/>
              </w:rPr>
              <w:t>少量</w:t>
            </w:r>
            <w:r>
              <w:rPr>
                <w:rFonts w:hint="default" w:ascii="Times New Roman" w:hAnsi="Times New Roman" w:cs="Times New Roman"/>
                <w:b w:val="0"/>
                <w:bCs w:val="0"/>
                <w:color w:val="auto"/>
              </w:rPr>
              <w:t>硫化氢。本项目主要为探明区域油藏含油气性及规模，试油过程不确定性大，采出液产生情况无法确定，且采出液装载仅在试油期进行，随试油期结束而停止产生；项目周边地域空旷、扩散条件良好；试油期采出液储存及装车过程产生的无组织非甲烷总烃应符合《陆上石油天然气开采工业大气污染物排放标准》（GB39728-2020）中相关标准限值要求，硫化氢排放浓度应满足《恶臭污染物排放标准》（GB14554-93）表1二级新改扩建浓度要求</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lang w:val="en-US" w:eastAsia="zh-CN"/>
              </w:rPr>
              <w:t>井场周边无大气环境保护目标，地域空旷、扩散条件良好，</w:t>
            </w:r>
            <w:r>
              <w:rPr>
                <w:rFonts w:hint="default" w:ascii="Times New Roman" w:hAnsi="Times New Roman" w:cs="Times New Roman"/>
                <w:b w:val="0"/>
                <w:bCs w:val="0"/>
                <w:color w:val="auto"/>
              </w:rPr>
              <w:t>不会对区域环境产生较大影响。</w:t>
            </w:r>
            <w:bookmarkStart w:id="84" w:name="_Hlk136794460"/>
          </w:p>
          <w:bookmarkEnd w:id="82"/>
          <w:bookmarkEnd w:id="84"/>
          <w:p>
            <w:pPr>
              <w:pStyle w:val="54"/>
              <w:numPr>
                <w:ilvl w:val="0"/>
                <w:numId w:val="9"/>
              </w:numPr>
              <w:bidi w:val="0"/>
              <w:ind w:left="9" w:leftChars="0" w:firstLineChars="0"/>
              <w:rPr>
                <w:rFonts w:hint="default"/>
                <w:color w:val="auto"/>
              </w:rPr>
            </w:pPr>
            <w:bookmarkStart w:id="85" w:name="_Hlk136795076"/>
            <w:r>
              <w:rPr>
                <w:rFonts w:hint="default"/>
                <w:color w:val="auto"/>
              </w:rPr>
              <w:t>地表水环境影响分析</w:t>
            </w:r>
          </w:p>
          <w:bookmarkEnd w:id="85"/>
          <w:p>
            <w:pPr>
              <w:pStyle w:val="10"/>
              <w:ind w:firstLine="480"/>
              <w:rPr>
                <w:rFonts w:hint="default" w:ascii="Times New Roman" w:hAnsi="Times New Roman" w:cs="Times New Roman"/>
                <w:b w:val="0"/>
                <w:bCs w:val="0"/>
                <w:color w:val="auto"/>
              </w:rPr>
            </w:pPr>
            <w:r>
              <w:rPr>
                <w:rFonts w:hint="default" w:ascii="Times New Roman" w:hAnsi="Times New Roman" w:eastAsia="宋体" w:cs="Times New Roman"/>
                <w:b w:val="0"/>
                <w:bCs w:val="0"/>
                <w:color w:val="auto"/>
                <w:lang w:val="en-US" w:eastAsia="zh-CN"/>
              </w:rPr>
              <w:t>本项目施工期</w:t>
            </w:r>
            <w:r>
              <w:rPr>
                <w:rFonts w:hint="default" w:ascii="Times New Roman" w:hAnsi="Times New Roman" w:eastAsia="宋体" w:cs="Times New Roman"/>
                <w:b w:val="0"/>
                <w:bCs w:val="0"/>
                <w:color w:val="auto"/>
              </w:rPr>
              <w:t>废</w:t>
            </w:r>
            <w:r>
              <w:rPr>
                <w:rFonts w:hint="default" w:ascii="Times New Roman" w:hAnsi="Times New Roman" w:eastAsia="宋体" w:cs="Times New Roman"/>
                <w:b w:val="0"/>
                <w:bCs w:val="0"/>
                <w:color w:val="auto"/>
                <w:lang w:val="en-US" w:eastAsia="zh-CN"/>
              </w:rPr>
              <w:t>水</w:t>
            </w:r>
            <w:r>
              <w:rPr>
                <w:rFonts w:hint="default" w:ascii="Times New Roman" w:hAnsi="Times New Roman" w:eastAsia="宋体" w:cs="Times New Roman"/>
                <w:b w:val="0"/>
                <w:bCs w:val="0"/>
                <w:color w:val="auto"/>
              </w:rPr>
              <w:t>主要为</w:t>
            </w:r>
            <w:r>
              <w:rPr>
                <w:rFonts w:hint="default" w:ascii="Times New Roman" w:hAnsi="Times New Roman" w:cs="Times New Roman"/>
                <w:b w:val="0"/>
                <w:bCs w:val="0"/>
                <w:color w:val="auto"/>
              </w:rPr>
              <w:t>生活污水和试油期废水</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lang w:val="en-US" w:eastAsia="zh-CN"/>
              </w:rPr>
              <w:t>洗井废水和压裂返排液</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w:t>
            </w:r>
          </w:p>
          <w:p>
            <w:pPr>
              <w:pStyle w:val="10"/>
              <w:ind w:firstLine="480"/>
              <w:rPr>
                <w:rFonts w:hint="default" w:ascii="Times New Roman" w:hAnsi="Times New Roman" w:cs="Times New Roman"/>
                <w:b w:val="0"/>
                <w:bCs w:val="0"/>
                <w:color w:val="auto"/>
              </w:rPr>
            </w:pPr>
            <w:r>
              <w:rPr>
                <w:rFonts w:hint="default" w:ascii="Times New Roman" w:hAnsi="Times New Roman" w:cs="Times New Roman"/>
                <w:b w:val="0"/>
                <w:bCs w:val="0"/>
                <w:color w:val="auto"/>
              </w:rPr>
              <w:t>（1）生活污水</w:t>
            </w:r>
          </w:p>
          <w:p>
            <w:pPr>
              <w:pStyle w:val="10"/>
              <w:ind w:firstLine="480"/>
              <w:rPr>
                <w:rFonts w:hint="default" w:ascii="Times New Roman" w:hAnsi="Times New Roman" w:cs="Times New Roman"/>
                <w:b w:val="0"/>
                <w:bCs w:val="0"/>
                <w:color w:val="auto"/>
              </w:rPr>
            </w:pPr>
            <w:r>
              <w:rPr>
                <w:rFonts w:hint="eastAsia" w:ascii="Times New Roman" w:hAnsi="Times New Roman" w:cs="Times New Roman"/>
                <w:b w:val="0"/>
                <w:bCs w:val="0"/>
                <w:color w:val="auto"/>
                <w:lang w:val="en-US" w:eastAsia="zh-CN"/>
              </w:rPr>
              <w:t>莫24H井</w:t>
            </w:r>
            <w:r>
              <w:rPr>
                <w:rFonts w:hint="default" w:ascii="Times New Roman" w:hAnsi="Times New Roman" w:cs="Times New Roman"/>
                <w:b w:val="0"/>
                <w:bCs w:val="0"/>
                <w:color w:val="auto"/>
                <w:lang w:val="en-US" w:eastAsia="zh-CN"/>
              </w:rPr>
              <w:t>设有1</w:t>
            </w:r>
            <w:r>
              <w:rPr>
                <w:rFonts w:hint="eastAsia" w:ascii="Times New Roman" w:hAnsi="Times New Roman" w:cs="Times New Roman"/>
                <w:b w:val="0"/>
                <w:bCs w:val="0"/>
                <w:color w:val="auto"/>
                <w:lang w:val="en-US" w:eastAsia="zh-CN"/>
              </w:rPr>
              <w:t>座</w:t>
            </w:r>
            <w:r>
              <w:rPr>
                <w:rFonts w:hint="default" w:ascii="Times New Roman" w:hAnsi="Times New Roman" w:cs="Times New Roman"/>
                <w:b w:val="0"/>
                <w:bCs w:val="0"/>
                <w:color w:val="auto"/>
                <w:lang w:val="en-US" w:eastAsia="zh-CN"/>
              </w:rPr>
              <w:t>生活营地，施工</w:t>
            </w:r>
            <w:r>
              <w:rPr>
                <w:rFonts w:hint="default" w:ascii="Times New Roman" w:hAnsi="Times New Roman" w:cs="Times New Roman"/>
                <w:b w:val="0"/>
                <w:bCs w:val="0"/>
                <w:color w:val="auto"/>
              </w:rPr>
              <w:t>期生活用水总量约为</w:t>
            </w:r>
            <w:r>
              <w:rPr>
                <w:rFonts w:hint="eastAsia" w:cs="Times New Roman"/>
                <w:b w:val="0"/>
                <w:bCs w:val="0"/>
                <w:color w:val="auto"/>
                <w:lang w:val="en-US" w:eastAsia="zh-CN"/>
              </w:rPr>
              <w:t>36.4</w:t>
            </w:r>
            <w:r>
              <w:rPr>
                <w:rFonts w:hint="default" w:ascii="Times New Roman" w:hAnsi="Times New Roman" w:cs="Times New Roman"/>
                <w:b w:val="0"/>
                <w:bCs w:val="0"/>
                <w:color w:val="auto"/>
              </w:rPr>
              <w:t>m</w:t>
            </w:r>
            <w:r>
              <w:rPr>
                <w:rFonts w:hint="default" w:ascii="Times New Roman" w:hAnsi="Times New Roman" w:cs="Times New Roman"/>
                <w:b w:val="0"/>
                <w:bCs w:val="0"/>
                <w:color w:val="auto"/>
                <w:vertAlign w:val="superscript"/>
              </w:rPr>
              <w:t>3</w:t>
            </w:r>
            <w:r>
              <w:rPr>
                <w:rFonts w:hint="default" w:ascii="Times New Roman" w:hAnsi="Times New Roman" w:cs="Times New Roman"/>
                <w:b w:val="0"/>
                <w:bCs w:val="0"/>
                <w:color w:val="auto"/>
              </w:rPr>
              <w:t>，排水系数取0.8，则生活污水产生量约为</w:t>
            </w:r>
            <w:r>
              <w:rPr>
                <w:rFonts w:hint="eastAsia" w:cs="Times New Roman"/>
                <w:b w:val="0"/>
                <w:bCs w:val="0"/>
                <w:color w:val="auto"/>
                <w:lang w:val="en-US" w:eastAsia="zh-CN"/>
              </w:rPr>
              <w:t>29.12</w:t>
            </w:r>
            <w:r>
              <w:rPr>
                <w:rFonts w:hint="default" w:ascii="Times New Roman" w:hAnsi="Times New Roman" w:cs="Times New Roman"/>
                <w:b w:val="0"/>
                <w:bCs w:val="0"/>
                <w:color w:val="auto"/>
              </w:rPr>
              <w:t>m</w:t>
            </w:r>
            <w:r>
              <w:rPr>
                <w:rFonts w:hint="default" w:ascii="Times New Roman" w:hAnsi="Times New Roman" w:cs="Times New Roman"/>
                <w:b w:val="0"/>
                <w:bCs w:val="0"/>
                <w:color w:val="auto"/>
                <w:vertAlign w:val="superscript"/>
              </w:rPr>
              <w:t>3</w:t>
            </w:r>
            <w:r>
              <w:rPr>
                <w:rFonts w:hint="default" w:ascii="Times New Roman" w:hAnsi="Times New Roman" w:cs="Times New Roman"/>
                <w:b w:val="0"/>
                <w:bCs w:val="0"/>
                <w:color w:val="auto"/>
              </w:rPr>
              <w:t>。施工人员产生的生活污水水质与居民生活污水相似，主要污染物浓度分别为化学需氧量（COD）350mg/L、氨氮（NH</w:t>
            </w:r>
            <w:r>
              <w:rPr>
                <w:rFonts w:hint="default" w:ascii="Times New Roman" w:hAnsi="Times New Roman" w:cs="Times New Roman"/>
                <w:b w:val="0"/>
                <w:bCs w:val="0"/>
                <w:color w:val="auto"/>
                <w:vertAlign w:val="subscript"/>
              </w:rPr>
              <w:t>3</w:t>
            </w:r>
            <w:r>
              <w:rPr>
                <w:rFonts w:hint="default" w:ascii="Times New Roman" w:hAnsi="Times New Roman" w:cs="Times New Roman"/>
                <w:b w:val="0"/>
                <w:bCs w:val="0"/>
                <w:color w:val="auto"/>
              </w:rPr>
              <w:t>-N）30mg/L、悬浮物（SS）200mg/L。</w:t>
            </w:r>
          </w:p>
          <w:p>
            <w:pPr>
              <w:pStyle w:val="10"/>
              <w:ind w:firstLine="480"/>
              <w:rPr>
                <w:rFonts w:hint="default" w:ascii="Times New Roman" w:hAnsi="Times New Roman" w:eastAsia="宋体" w:cs="Times New Roman"/>
                <w:b w:val="0"/>
                <w:bCs w:val="0"/>
                <w:color w:val="auto"/>
                <w:lang w:val="en-US" w:eastAsia="zh-CN"/>
              </w:rPr>
            </w:pPr>
            <w:r>
              <w:rPr>
                <w:rFonts w:hint="default" w:ascii="Times New Roman" w:hAnsi="Times New Roman" w:cs="Times New Roman"/>
                <w:b w:val="0"/>
                <w:bCs w:val="0"/>
                <w:color w:val="auto"/>
                <w:lang w:val="en-US" w:eastAsia="zh-CN"/>
              </w:rPr>
              <w:t>该</w:t>
            </w:r>
            <w:r>
              <w:rPr>
                <w:rFonts w:hint="default" w:ascii="Times New Roman" w:hAnsi="Times New Roman" w:cs="Times New Roman"/>
                <w:b w:val="0"/>
                <w:bCs w:val="0"/>
                <w:color w:val="auto"/>
              </w:rPr>
              <w:t>生活营地内设置1座临时</w:t>
            </w:r>
            <w:r>
              <w:rPr>
                <w:rFonts w:hint="eastAsia" w:ascii="Times New Roman" w:hAnsi="Times New Roman" w:cs="Times New Roman"/>
                <w:b w:val="0"/>
                <w:bCs w:val="0"/>
                <w:color w:val="auto"/>
                <w:lang w:eastAsia="zh-CN"/>
              </w:rPr>
              <w:t>防渗储集池</w:t>
            </w:r>
            <w:r>
              <w:rPr>
                <w:rFonts w:hint="default" w:ascii="Times New Roman" w:hAnsi="Times New Roman" w:cs="Times New Roman"/>
                <w:b w:val="0"/>
                <w:bCs w:val="0"/>
                <w:color w:val="auto"/>
              </w:rPr>
              <w:t>用于收集和暂存生活污水，</w:t>
            </w:r>
            <w:r>
              <w:rPr>
                <w:rFonts w:hint="eastAsia" w:ascii="Times New Roman" w:hAnsi="Times New Roman" w:cs="Times New Roman"/>
                <w:b w:val="0"/>
                <w:bCs w:val="0"/>
                <w:color w:val="auto"/>
                <w:lang w:eastAsia="zh-CN"/>
              </w:rPr>
              <w:t>防渗储集池</w:t>
            </w:r>
            <w:r>
              <w:rPr>
                <w:rFonts w:hint="default" w:ascii="Times New Roman" w:hAnsi="Times New Roman" w:cs="Times New Roman"/>
                <w:b w:val="0"/>
                <w:bCs w:val="0"/>
                <w:color w:val="auto"/>
              </w:rPr>
              <w:t>开挖后采用HDPE防渗膜铺垫防渗。生活污水定期清运至</w:t>
            </w:r>
            <w:r>
              <w:rPr>
                <w:rFonts w:hint="eastAsia" w:cs="Times New Roman"/>
                <w:b w:val="0"/>
                <w:bCs w:val="0"/>
                <w:color w:val="auto"/>
                <w:lang w:eastAsia="zh-CN"/>
              </w:rPr>
              <w:t>呼图壁县丰泉污水处理厂</w:t>
            </w:r>
            <w:r>
              <w:rPr>
                <w:rFonts w:hint="default" w:ascii="Times New Roman" w:hAnsi="Times New Roman" w:cs="Times New Roman"/>
                <w:b w:val="0"/>
                <w:bCs w:val="0"/>
                <w:color w:val="auto"/>
              </w:rPr>
              <w:t>处理，施工结束后，</w:t>
            </w:r>
            <w:r>
              <w:rPr>
                <w:rFonts w:hint="eastAsia" w:ascii="Times New Roman" w:hAnsi="Times New Roman" w:cs="Times New Roman"/>
                <w:b w:val="0"/>
                <w:bCs w:val="0"/>
                <w:color w:val="auto"/>
                <w:lang w:eastAsia="zh-CN"/>
              </w:rPr>
              <w:t>防渗储集池</w:t>
            </w:r>
            <w:r>
              <w:rPr>
                <w:rFonts w:hint="default" w:ascii="Times New Roman" w:hAnsi="Times New Roman" w:cs="Times New Roman"/>
                <w:b w:val="0"/>
                <w:bCs w:val="0"/>
                <w:color w:val="auto"/>
              </w:rPr>
              <w:t>占地及时清理并恢复原貌、防渗膜回收</w:t>
            </w:r>
            <w:r>
              <w:rPr>
                <w:rFonts w:hint="eastAsia" w:cs="Times New Roman"/>
                <w:b w:val="0"/>
                <w:bCs w:val="0"/>
                <w:color w:val="auto"/>
                <w:lang w:eastAsia="zh-CN"/>
              </w:rPr>
              <w:t>，</w:t>
            </w:r>
            <w:r>
              <w:rPr>
                <w:rFonts w:hint="eastAsia" w:cs="Times New Roman"/>
                <w:b w:val="0"/>
                <w:bCs w:val="0"/>
                <w:color w:val="auto"/>
                <w:lang w:val="en-US" w:eastAsia="zh-CN"/>
              </w:rPr>
              <w:t>生活污水可得到妥善处置，对环境影响可接受。</w:t>
            </w:r>
          </w:p>
          <w:p>
            <w:pPr>
              <w:pStyle w:val="10"/>
              <w:ind w:firstLine="480"/>
              <w:rPr>
                <w:rFonts w:hint="default" w:ascii="Times New Roman" w:hAnsi="Times New Roman" w:cs="Times New Roman"/>
                <w:b w:val="0"/>
                <w:bCs w:val="0"/>
                <w:color w:val="auto"/>
              </w:rPr>
            </w:pPr>
            <w:r>
              <w:rPr>
                <w:rFonts w:hint="default" w:ascii="Times New Roman" w:hAnsi="Times New Roman" w:cs="Times New Roman"/>
                <w:b w:val="0"/>
                <w:bCs w:val="0"/>
                <w:color w:val="auto"/>
              </w:rPr>
              <w:t>（2）试油废水</w:t>
            </w:r>
          </w:p>
          <w:p>
            <w:pPr>
              <w:pStyle w:val="10"/>
              <w:ind w:firstLine="480"/>
              <w:rPr>
                <w:rFonts w:hint="default" w:ascii="Times New Roman" w:hAnsi="Times New Roman" w:eastAsia="宋体" w:cs="Times New Roman"/>
                <w:b w:val="0"/>
                <w:bCs w:val="0"/>
                <w:color w:val="auto"/>
                <w:lang w:val="en-US" w:eastAsia="zh-CN"/>
              </w:rPr>
            </w:pPr>
            <w:r>
              <w:rPr>
                <w:rFonts w:hint="default" w:ascii="Times New Roman" w:hAnsi="Times New Roman" w:cs="Times New Roman"/>
                <w:b w:val="0"/>
                <w:bCs w:val="0"/>
                <w:color w:val="auto"/>
              </w:rPr>
              <w:t>钻井期无生产废水产生，试油废水包括洗井废水和压裂返排液。洗井用水量300m</w:t>
            </w:r>
            <w:r>
              <w:rPr>
                <w:rFonts w:hint="default" w:ascii="Times New Roman" w:hAnsi="Times New Roman" w:cs="Times New Roman"/>
                <w:b w:val="0"/>
                <w:bCs w:val="0"/>
                <w:color w:val="auto"/>
                <w:vertAlign w:val="superscript"/>
              </w:rPr>
              <w:t>3</w:t>
            </w:r>
            <w:r>
              <w:rPr>
                <w:rFonts w:hint="default" w:ascii="Times New Roman" w:hAnsi="Times New Roman" w:cs="Times New Roman"/>
                <w:b w:val="0"/>
                <w:bCs w:val="0"/>
                <w:color w:val="auto"/>
              </w:rPr>
              <w:t>，</w:t>
            </w:r>
            <w:r>
              <w:rPr>
                <w:rFonts w:hint="eastAsia" w:ascii="Times New Roman" w:hAnsi="Times New Roman" w:cs="Times New Roman"/>
                <w:b w:val="0"/>
                <w:bCs w:val="0"/>
                <w:color w:val="auto"/>
                <w:lang w:val="en-US" w:eastAsia="zh-CN"/>
              </w:rPr>
              <w:t>洗井完成后洗井废水</w:t>
            </w:r>
            <w:r>
              <w:rPr>
                <w:rFonts w:hint="default" w:ascii="Times New Roman" w:hAnsi="Times New Roman" w:cs="Times New Roman"/>
                <w:b w:val="0"/>
                <w:bCs w:val="0"/>
                <w:color w:val="auto"/>
              </w:rPr>
              <w:t>返回井场设置的储罐内，洗井废水产生量为</w:t>
            </w:r>
            <w:r>
              <w:rPr>
                <w:rFonts w:hint="eastAsia" w:ascii="Times New Roman" w:hAnsi="Times New Roman" w:cs="Times New Roman"/>
                <w:b w:val="0"/>
                <w:bCs w:val="0"/>
                <w:color w:val="auto"/>
                <w:highlight w:val="none"/>
                <w:lang w:val="en-US" w:eastAsia="zh-CN"/>
              </w:rPr>
              <w:t>285</w:t>
            </w:r>
            <w:r>
              <w:rPr>
                <w:rFonts w:hint="default" w:ascii="Times New Roman" w:hAnsi="Times New Roman" w:cs="Times New Roman"/>
                <w:b w:val="0"/>
                <w:bCs w:val="0"/>
                <w:color w:val="auto"/>
                <w:highlight w:val="none"/>
              </w:rPr>
              <w:t>m</w:t>
            </w:r>
            <w:r>
              <w:rPr>
                <w:rFonts w:hint="default" w:ascii="Times New Roman" w:hAnsi="Times New Roman" w:cs="Times New Roman"/>
                <w:b w:val="0"/>
                <w:bCs w:val="0"/>
                <w:color w:val="auto"/>
                <w:highlight w:val="none"/>
                <w:vertAlign w:val="superscript"/>
              </w:rPr>
              <w:t>3</w:t>
            </w:r>
            <w:r>
              <w:rPr>
                <w:rFonts w:hint="default" w:ascii="Times New Roman" w:hAnsi="Times New Roman" w:cs="Times New Roman"/>
                <w:b w:val="0"/>
                <w:bCs w:val="0"/>
                <w:color w:val="auto"/>
                <w:highlight w:val="none"/>
              </w:rPr>
              <w:t>，</w:t>
            </w:r>
            <w:r>
              <w:rPr>
                <w:rFonts w:hint="default" w:ascii="Times New Roman" w:hAnsi="Times New Roman" w:cs="Times New Roman"/>
                <w:b w:val="0"/>
                <w:bCs w:val="0"/>
                <w:color w:val="auto"/>
              </w:rPr>
              <w:t>主要污染物为石油类和悬浮物等；压裂期间使用压裂液约</w:t>
            </w:r>
            <w:r>
              <w:rPr>
                <w:rFonts w:hint="default" w:ascii="Times New Roman" w:hAnsi="Times New Roman" w:cs="Times New Roman"/>
                <w:b w:val="0"/>
                <w:bCs w:val="0"/>
                <w:color w:val="auto"/>
                <w:lang w:val="en-US" w:eastAsia="zh-CN"/>
              </w:rPr>
              <w:t>10</w:t>
            </w:r>
            <w:r>
              <w:rPr>
                <w:rFonts w:hint="default" w:ascii="Times New Roman" w:hAnsi="Times New Roman" w:cs="Times New Roman"/>
                <w:b w:val="0"/>
                <w:bCs w:val="0"/>
                <w:color w:val="auto"/>
              </w:rPr>
              <w:t>00m</w:t>
            </w:r>
            <w:r>
              <w:rPr>
                <w:rFonts w:hint="default" w:ascii="Times New Roman" w:hAnsi="Times New Roman" w:cs="Times New Roman"/>
                <w:b w:val="0"/>
                <w:bCs w:val="0"/>
                <w:color w:val="auto"/>
                <w:vertAlign w:val="superscript"/>
              </w:rPr>
              <w:t>3</w:t>
            </w:r>
            <w:r>
              <w:rPr>
                <w:rFonts w:hint="default" w:ascii="Times New Roman" w:hAnsi="Times New Roman" w:cs="Times New Roman"/>
                <w:b w:val="0"/>
                <w:bCs w:val="0"/>
                <w:color w:val="auto"/>
              </w:rPr>
              <w:t>，根据同类项目施工数据可知，压裂液返排量约20%～50%，取最大值50%计算，则压裂返排液产生量约</w:t>
            </w:r>
            <w:r>
              <w:rPr>
                <w:rFonts w:hint="default" w:ascii="Times New Roman" w:hAnsi="Times New Roman" w:cs="Times New Roman"/>
                <w:b w:val="0"/>
                <w:bCs w:val="0"/>
                <w:color w:val="auto"/>
                <w:lang w:val="en-US" w:eastAsia="zh-CN"/>
              </w:rPr>
              <w:t>5</w:t>
            </w:r>
            <w:r>
              <w:rPr>
                <w:rFonts w:hint="default" w:ascii="Times New Roman" w:hAnsi="Times New Roman" w:cs="Times New Roman"/>
                <w:b w:val="0"/>
                <w:bCs w:val="0"/>
                <w:color w:val="auto"/>
              </w:rPr>
              <w:t>00m</w:t>
            </w:r>
            <w:r>
              <w:rPr>
                <w:rFonts w:hint="default" w:ascii="Times New Roman" w:hAnsi="Times New Roman" w:cs="Times New Roman"/>
                <w:b w:val="0"/>
                <w:bCs w:val="0"/>
                <w:color w:val="auto"/>
                <w:vertAlign w:val="superscript"/>
              </w:rPr>
              <w:t>3</w:t>
            </w:r>
            <w:r>
              <w:rPr>
                <w:rFonts w:hint="default" w:ascii="Times New Roman" w:hAnsi="Times New Roman" w:cs="Times New Roman"/>
                <w:b w:val="0"/>
                <w:bCs w:val="0"/>
                <w:color w:val="auto"/>
              </w:rPr>
              <w:t>，主要污染物为石油类、悬浮物等。洗井废水和压裂返排液经专用储罐收集后由罐车拉运至石西集中处理站采出水处理系统处理，处理达到《碎屑岩油藏注水水质指标技术要求及分析方法》（SY/T5329-2022）的相关标准后全部回注油藏，不外排。</w:t>
            </w:r>
            <w:r>
              <w:rPr>
                <w:rFonts w:hint="eastAsia" w:cs="Times New Roman"/>
                <w:b w:val="0"/>
                <w:bCs w:val="0"/>
                <w:color w:val="auto"/>
                <w:lang w:val="en-US" w:eastAsia="zh-CN"/>
              </w:rPr>
              <w:t>试油废水可得到妥善处置，对环境影响可接受。</w:t>
            </w:r>
          </w:p>
          <w:p>
            <w:pPr>
              <w:pStyle w:val="54"/>
              <w:numPr>
                <w:ilvl w:val="0"/>
                <w:numId w:val="9"/>
              </w:numPr>
              <w:bidi w:val="0"/>
              <w:ind w:left="9" w:leftChars="0" w:firstLineChars="0"/>
              <w:rPr>
                <w:rFonts w:hint="default"/>
                <w:color w:val="auto"/>
              </w:rPr>
            </w:pPr>
            <w:r>
              <w:rPr>
                <w:rFonts w:hint="default"/>
                <w:color w:val="auto"/>
              </w:rPr>
              <w:t>地下水、土壤环境影响分析</w:t>
            </w:r>
          </w:p>
          <w:p>
            <w:pPr>
              <w:pStyle w:val="10"/>
              <w:bidi w:val="0"/>
              <w:rPr>
                <w:rFonts w:hint="default"/>
                <w:color w:val="auto"/>
              </w:rPr>
            </w:pPr>
            <w:r>
              <w:rPr>
                <w:rFonts w:hint="default"/>
                <w:color w:val="auto"/>
              </w:rPr>
              <w:t>（1）地下水环境影响分析</w:t>
            </w:r>
          </w:p>
          <w:p>
            <w:pPr>
              <w:pStyle w:val="10"/>
              <w:bidi w:val="0"/>
              <w:rPr>
                <w:rFonts w:hint="default"/>
                <w:color w:val="auto"/>
                <w:lang w:val="en-US" w:eastAsia="zh-CN"/>
              </w:rPr>
            </w:pPr>
            <w:bookmarkStart w:id="86" w:name="_Hlk170208004"/>
            <w:bookmarkStart w:id="87" w:name="_Hlk170207859"/>
            <w:r>
              <w:rPr>
                <w:rFonts w:hint="eastAsia"/>
                <w:color w:val="auto"/>
                <w:lang w:val="en-US" w:eastAsia="zh-CN"/>
              </w:rPr>
              <w:t>①正常情况下对地下水环境影响</w:t>
            </w:r>
          </w:p>
          <w:p>
            <w:pPr>
              <w:pStyle w:val="10"/>
              <w:bidi w:val="0"/>
              <w:rPr>
                <w:rFonts w:hint="default"/>
                <w:color w:val="auto"/>
              </w:rPr>
            </w:pPr>
            <w:r>
              <w:rPr>
                <w:rFonts w:hint="default"/>
                <w:color w:val="auto"/>
              </w:rPr>
              <w:t>井场油罐、废水储罐、发电房、材料房、生活污水收集池、水基钻井岩屑</w:t>
            </w:r>
            <w:r>
              <w:rPr>
                <w:rFonts w:hint="eastAsia"/>
                <w:color w:val="auto"/>
                <w:lang w:eastAsia="zh-CN"/>
              </w:rPr>
              <w:t>储罐</w:t>
            </w:r>
            <w:r>
              <w:rPr>
                <w:rFonts w:hint="default"/>
                <w:color w:val="auto"/>
              </w:rPr>
              <w:t>底部</w:t>
            </w:r>
            <w:r>
              <w:rPr>
                <w:rFonts w:hint="eastAsia"/>
                <w:color w:val="auto"/>
                <w:lang w:eastAsia="zh-CN"/>
              </w:rPr>
              <w:t>、</w:t>
            </w:r>
            <w:r>
              <w:rPr>
                <w:rFonts w:hint="eastAsia" w:ascii="宋体" w:hAnsi="宋体" w:cs="宋体"/>
                <w:color w:val="auto"/>
                <w:szCs w:val="24"/>
              </w:rPr>
              <w:t>油基钻井岩屑储罐底部</w:t>
            </w:r>
            <w:r>
              <w:rPr>
                <w:rFonts w:hint="eastAsia" w:ascii="宋体" w:hAnsi="宋体" w:cs="宋体"/>
                <w:color w:val="auto"/>
                <w:szCs w:val="24"/>
                <w:lang w:val="en-US" w:eastAsia="zh-CN"/>
              </w:rPr>
              <w:t>和危废贮存点</w:t>
            </w:r>
            <w:r>
              <w:rPr>
                <w:rFonts w:hint="default"/>
                <w:color w:val="auto"/>
              </w:rPr>
              <w:t>等关键区域均采用防渗膜防渗</w:t>
            </w:r>
            <w:bookmarkEnd w:id="86"/>
            <w:r>
              <w:rPr>
                <w:rFonts w:hint="default"/>
                <w:color w:val="auto"/>
              </w:rPr>
              <w:t>。本次钻井深度为</w:t>
            </w:r>
            <w:r>
              <w:rPr>
                <w:rFonts w:hint="eastAsia"/>
                <w:color w:val="auto"/>
                <w:lang w:val="en-US" w:eastAsia="zh-CN"/>
              </w:rPr>
              <w:t>6089</w:t>
            </w:r>
            <w:r>
              <w:rPr>
                <w:rFonts w:hint="default"/>
                <w:color w:val="auto"/>
              </w:rPr>
              <w:t>m，钻井采用下套管注水泥固井的完井方式进行水泥固井，一开</w:t>
            </w:r>
            <w:r>
              <w:rPr>
                <w:rFonts w:hint="eastAsia"/>
                <w:color w:val="auto"/>
                <w:lang w:eastAsia="zh-CN"/>
              </w:rPr>
              <w:t>、</w:t>
            </w:r>
            <w:r>
              <w:rPr>
                <w:rFonts w:hint="eastAsia"/>
                <w:color w:val="auto"/>
                <w:lang w:val="en-US" w:eastAsia="zh-CN"/>
              </w:rPr>
              <w:t>二开及三开</w:t>
            </w:r>
            <w:r>
              <w:rPr>
                <w:rFonts w:hint="default"/>
                <w:color w:val="auto"/>
              </w:rPr>
              <w:t>环空水泥浆均返至地面，对含水层进行了固封处理，可有效保护地下水层；试油目的层与</w:t>
            </w:r>
            <w:r>
              <w:rPr>
                <w:rFonts w:hint="eastAsia"/>
                <w:color w:val="auto"/>
                <w:lang w:val="en-US" w:eastAsia="zh-CN"/>
              </w:rPr>
              <w:t>潜水含水层和第四系</w:t>
            </w:r>
            <w:r>
              <w:rPr>
                <w:rFonts w:hint="default"/>
                <w:color w:val="auto"/>
              </w:rPr>
              <w:t>地下水</w:t>
            </w:r>
            <w:r>
              <w:rPr>
                <w:rFonts w:hint="eastAsia"/>
                <w:color w:val="auto"/>
                <w:lang w:val="en-US" w:eastAsia="zh-CN"/>
              </w:rPr>
              <w:t>含水层</w:t>
            </w:r>
            <w:r>
              <w:rPr>
                <w:rFonts w:hint="default"/>
                <w:color w:val="auto"/>
              </w:rPr>
              <w:t>处于不同层系，在施工过程中确保套管下入指定深度，</w:t>
            </w:r>
            <w:r>
              <w:rPr>
                <w:rFonts w:hint="eastAsia"/>
                <w:color w:val="auto"/>
                <w:lang w:val="en-US" w:eastAsia="zh-CN"/>
              </w:rPr>
              <w:t>施工作业严格按照固井作业规程要求施工，由专业下套管作业队进行施工作业，同时严格落实套管下入深度合格、固井质量合格，</w:t>
            </w:r>
            <w:r>
              <w:rPr>
                <w:rFonts w:hint="default"/>
                <w:color w:val="auto"/>
              </w:rPr>
              <w:t>可有效避免钻试工程对地下水环境的影响。</w:t>
            </w:r>
          </w:p>
          <w:bookmarkEnd w:id="87"/>
          <w:p>
            <w:pPr>
              <w:pStyle w:val="10"/>
              <w:bidi w:val="0"/>
              <w:rPr>
                <w:rFonts w:hint="default"/>
                <w:color w:val="auto"/>
                <w:lang w:val="en-US" w:eastAsia="zh-CN"/>
              </w:rPr>
            </w:pPr>
            <w:r>
              <w:rPr>
                <w:rFonts w:hint="eastAsia"/>
                <w:color w:val="auto"/>
                <w:lang w:val="en-US" w:eastAsia="zh-CN"/>
              </w:rPr>
              <w:t>本项目岩屑直接进储罐后进行清运，不在现场贮存，井场设置的危险废物贮存点用于分区暂存施工阶段产生的沾油废防渗材料、废润滑油及废润滑油桶，最终交由具有相应危险废物处置资质单位进行接收、转运和处置。危险废物贮存点对危险废物分区暂存，具备防雨、防晒和防止危险废物流失等措施；贮存区地面采取表面防渗措施，并对各分区设置了危险废物识别标志；沾油废防渗材料暂存区设有托盘，废润滑油装在废润滑油桶内，且油桶顶部带盖，桶底设防渗膜；同时对危险废物建立管理台账；在交由具有相应危险废物处置资质单位进行接收、转运和处置过程中，严格按照《危险废物转移管理办法》的有关规定填写、运行危险废物转移联单。贮存点实施贮存量约为1.5t，不超过3t。</w:t>
            </w:r>
          </w:p>
          <w:p>
            <w:pPr>
              <w:pStyle w:val="10"/>
              <w:bidi w:val="0"/>
              <w:rPr>
                <w:rFonts w:hint="default"/>
                <w:color w:val="auto"/>
                <w:lang w:val="en-US" w:eastAsia="zh-CN"/>
              </w:rPr>
            </w:pPr>
            <w:r>
              <w:rPr>
                <w:rFonts w:hint="eastAsia"/>
                <w:color w:val="auto"/>
                <w:lang w:val="en-US" w:eastAsia="zh-CN"/>
              </w:rPr>
              <w:t>正常情况下，本项目不会对地下水环境产生影响。</w:t>
            </w:r>
          </w:p>
          <w:p>
            <w:pPr>
              <w:pStyle w:val="10"/>
              <w:bidi w:val="0"/>
              <w:rPr>
                <w:rFonts w:hint="default"/>
                <w:color w:val="auto"/>
                <w:lang w:val="en-US" w:eastAsia="zh-CN"/>
              </w:rPr>
            </w:pPr>
            <w:r>
              <w:rPr>
                <w:rFonts w:hint="eastAsia"/>
                <w:color w:val="auto"/>
                <w:lang w:val="en-US" w:eastAsia="zh-CN"/>
              </w:rPr>
              <w:t>②事故状态下对地下水环境影响</w:t>
            </w:r>
          </w:p>
          <w:p>
            <w:pPr>
              <w:pStyle w:val="10"/>
              <w:bidi w:val="0"/>
              <w:rPr>
                <w:rFonts w:hint="eastAsia" w:eastAsia="宋体"/>
                <w:color w:val="auto"/>
                <w:lang w:eastAsia="zh-CN"/>
              </w:rPr>
            </w:pPr>
            <w:r>
              <w:rPr>
                <w:rFonts w:hint="eastAsia"/>
                <w:color w:val="auto"/>
                <w:lang w:val="en-US" w:eastAsia="zh-CN"/>
              </w:rPr>
              <w:t>本</w:t>
            </w:r>
            <w:r>
              <w:rPr>
                <w:rFonts w:hint="default"/>
                <w:color w:val="auto"/>
              </w:rPr>
              <w:t>项目钻井过程中采用套管与土壤隔离，并在套管与地层之间注入水泥进行固井，水泥浆返至地面，封隔疏松地层和水层</w:t>
            </w:r>
            <w:r>
              <w:rPr>
                <w:rFonts w:hint="eastAsia"/>
                <w:color w:val="auto"/>
                <w:lang w:eastAsia="zh-CN"/>
              </w:rPr>
              <w:t>。</w:t>
            </w:r>
          </w:p>
          <w:p>
            <w:pPr>
              <w:pStyle w:val="10"/>
              <w:bidi w:val="0"/>
              <w:rPr>
                <w:rFonts w:hint="default"/>
                <w:color w:val="auto"/>
              </w:rPr>
            </w:pPr>
            <w:r>
              <w:rPr>
                <w:rFonts w:hint="default"/>
                <w:color w:val="auto"/>
              </w:rPr>
              <w:t>本</w:t>
            </w:r>
            <w:r>
              <w:rPr>
                <w:rFonts w:hint="eastAsia"/>
                <w:color w:val="auto"/>
                <w:lang w:val="en-US" w:eastAsia="zh-CN"/>
              </w:rPr>
              <w:t>项目</w:t>
            </w:r>
            <w:r>
              <w:rPr>
                <w:rFonts w:hint="default"/>
                <w:color w:val="auto"/>
              </w:rPr>
              <w:t>井口</w:t>
            </w:r>
            <w:r>
              <w:rPr>
                <w:rFonts w:hint="eastAsia"/>
                <w:color w:val="auto"/>
                <w:lang w:val="en-US" w:eastAsia="zh-CN"/>
              </w:rPr>
              <w:t>一开</w:t>
            </w:r>
            <w:r>
              <w:rPr>
                <w:rFonts w:hint="default"/>
                <w:color w:val="auto"/>
              </w:rPr>
              <w:t>套管下土深度为</w:t>
            </w:r>
            <w:r>
              <w:rPr>
                <w:rFonts w:hint="eastAsia" w:ascii="Times New Roman" w:eastAsia="宋体"/>
                <w:color w:val="auto"/>
                <w:lang w:val="en-US" w:eastAsia="zh-CN"/>
              </w:rPr>
              <w:t>952</w:t>
            </w:r>
            <w:r>
              <w:rPr>
                <w:rFonts w:hint="default"/>
                <w:color w:val="auto"/>
              </w:rPr>
              <w:t>m</w:t>
            </w:r>
            <w:r>
              <w:rPr>
                <w:rFonts w:hint="eastAsia"/>
                <w:color w:val="auto"/>
                <w:lang w:eastAsia="zh-CN"/>
              </w:rPr>
              <w:t>，</w:t>
            </w:r>
            <w:r>
              <w:rPr>
                <w:rFonts w:hint="eastAsia"/>
                <w:color w:val="auto"/>
                <w:lang w:val="en-US" w:eastAsia="zh-CN"/>
              </w:rPr>
              <w:t>二开</w:t>
            </w:r>
            <w:r>
              <w:rPr>
                <w:rFonts w:hint="default"/>
                <w:color w:val="auto"/>
              </w:rPr>
              <w:t>套管下土深度为</w:t>
            </w:r>
            <w:r>
              <w:rPr>
                <w:rFonts w:hint="eastAsia"/>
                <w:color w:val="auto"/>
                <w:lang w:val="en-US" w:eastAsia="zh-CN"/>
              </w:rPr>
              <w:t>3522</w:t>
            </w:r>
            <w:r>
              <w:rPr>
                <w:rFonts w:hint="default"/>
                <w:color w:val="auto"/>
              </w:rPr>
              <w:t>m，</w:t>
            </w:r>
            <w:r>
              <w:rPr>
                <w:rFonts w:hint="eastAsia"/>
                <w:color w:val="auto"/>
                <w:lang w:val="en-US" w:eastAsia="zh-CN"/>
              </w:rPr>
              <w:t>三开</w:t>
            </w:r>
            <w:r>
              <w:rPr>
                <w:rFonts w:hint="default"/>
                <w:color w:val="auto"/>
              </w:rPr>
              <w:t>套管下土深度为</w:t>
            </w:r>
            <w:r>
              <w:rPr>
                <w:rFonts w:hint="eastAsia"/>
                <w:color w:val="auto"/>
                <w:lang w:val="en-US" w:eastAsia="zh-CN"/>
              </w:rPr>
              <w:t>6089</w:t>
            </w:r>
            <w:r>
              <w:rPr>
                <w:rFonts w:hint="default"/>
                <w:color w:val="auto"/>
              </w:rPr>
              <w:t>m</w:t>
            </w:r>
            <w:r>
              <w:rPr>
                <w:rFonts w:hint="eastAsia"/>
                <w:color w:val="auto"/>
                <w:lang w:eastAsia="zh-CN"/>
              </w:rPr>
              <w:t>，</w:t>
            </w:r>
            <w:r>
              <w:rPr>
                <w:rFonts w:hint="eastAsia"/>
                <w:color w:val="auto"/>
                <w:lang w:val="en-US" w:eastAsia="zh-CN"/>
              </w:rPr>
              <w:t>固井水泥返至地面，套管深度远</w:t>
            </w:r>
            <w:r>
              <w:rPr>
                <w:rFonts w:hint="default"/>
                <w:color w:val="auto"/>
              </w:rPr>
              <w:t>超出本区域地下水含水层深度，有效隔断了油井与含水层之间的联系，可保护地下水环境不受污染。</w:t>
            </w:r>
            <w:r>
              <w:rPr>
                <w:rFonts w:hint="eastAsia"/>
                <w:color w:val="auto"/>
                <w:lang w:val="en-US" w:eastAsia="zh-CN"/>
              </w:rPr>
              <w:t>如在施工过程套管下土深度不合格，固井不合格，则将会导致地下水受到污染影响。因此，项目</w:t>
            </w:r>
            <w:r>
              <w:rPr>
                <w:rFonts w:hint="default"/>
                <w:color w:val="auto"/>
              </w:rPr>
              <w:t>钻井过程</w:t>
            </w:r>
            <w:r>
              <w:rPr>
                <w:rFonts w:hint="eastAsia"/>
                <w:color w:val="auto"/>
                <w:lang w:val="en-US" w:eastAsia="zh-CN"/>
              </w:rPr>
              <w:t>必须</w:t>
            </w:r>
            <w:r>
              <w:rPr>
                <w:rFonts w:hint="default"/>
                <w:color w:val="auto"/>
              </w:rPr>
              <w:t>严格要求套管下入深度</w:t>
            </w:r>
            <w:r>
              <w:rPr>
                <w:rFonts w:hint="eastAsia"/>
                <w:color w:val="auto"/>
                <w:lang w:val="en-US" w:eastAsia="zh-CN"/>
              </w:rPr>
              <w:t>达到设计要求</w:t>
            </w:r>
            <w:r>
              <w:rPr>
                <w:rFonts w:hint="default"/>
                <w:color w:val="auto"/>
              </w:rPr>
              <w:t>，</w:t>
            </w:r>
            <w:r>
              <w:rPr>
                <w:rFonts w:hint="eastAsia"/>
                <w:color w:val="auto"/>
                <w:lang w:val="en-US" w:eastAsia="zh-CN"/>
              </w:rPr>
              <w:t>确保固井质量合格，</w:t>
            </w:r>
            <w:r>
              <w:rPr>
                <w:rFonts w:hint="default"/>
                <w:color w:val="auto"/>
              </w:rPr>
              <w:t>可有效控制钻井液在地层中的漏失，减轻对地下水环境的影响。由于本工程勘探目的层与地下水处于不同层系，超出本区域地下水含水层深度，在施工过程中采用下套管注水泥固井、完井方式进行水泥固井，对含水层进行了固封处理，有效保护地下水层。</w:t>
            </w:r>
            <w:r>
              <w:rPr>
                <w:rFonts w:hint="eastAsia"/>
                <w:color w:val="auto"/>
                <w:lang w:val="en-US" w:eastAsia="zh-CN"/>
              </w:rPr>
              <w:t>项目</w:t>
            </w:r>
            <w:r>
              <w:rPr>
                <w:rFonts w:hint="default"/>
                <w:color w:val="auto"/>
              </w:rPr>
              <w:t>在井下作业过程中产生的废水不与当地水体发生水力联系，同时对产生的废水进行严格管理，因此基本不会对所在区域地下水产生影响。</w:t>
            </w:r>
          </w:p>
          <w:p>
            <w:pPr>
              <w:pStyle w:val="10"/>
              <w:bidi w:val="0"/>
              <w:rPr>
                <w:rFonts w:hint="default"/>
                <w:color w:val="auto"/>
                <w:lang w:val="en-US" w:eastAsia="zh-CN"/>
              </w:rPr>
            </w:pPr>
            <w:r>
              <w:rPr>
                <w:rFonts w:hint="eastAsia"/>
                <w:color w:val="auto"/>
                <w:lang w:val="en-US" w:eastAsia="zh-CN"/>
              </w:rPr>
              <w:t>本项目井场内设有临时危险废物贮存点，如发生渗漏，可能会使贮存点及周边地表土壤受到油污污染，改变土壤的理化性质，导致土壤肥力下降，影响植被生长；在无防晒措施下，一些危险废物中的挥发性物质会因温度升高而加速挥发，对周围大气环境会造成一定的影响；在无防腐、无防渗措施下，贮存容器一旦破损，将导致危险废物泄漏，对人体、土壤等周边环境造成不利影响。因此，井场内设置的危险废物贮存点必须采取防晒、防雨、防腐及防渗等措施。</w:t>
            </w:r>
          </w:p>
          <w:p>
            <w:pPr>
              <w:pStyle w:val="10"/>
              <w:bidi w:val="0"/>
              <w:rPr>
                <w:rFonts w:hint="default"/>
                <w:color w:val="auto"/>
              </w:rPr>
            </w:pPr>
            <w:r>
              <w:rPr>
                <w:rFonts w:hint="default"/>
                <w:color w:val="auto"/>
              </w:rPr>
              <w:t>（2）土壤环境影响分析</w:t>
            </w:r>
          </w:p>
          <w:p>
            <w:pPr>
              <w:pStyle w:val="10"/>
              <w:bidi w:val="0"/>
              <w:rPr>
                <w:rFonts w:hint="default"/>
                <w:color w:val="auto"/>
              </w:rPr>
            </w:pPr>
            <w:r>
              <w:rPr>
                <w:rFonts w:hint="default"/>
                <w:color w:val="auto"/>
              </w:rPr>
              <w:t>钻前工程及钻试工程各项施工活动不可避免的会对土壤造成人为扰动，产生破坏性影响，如井场、生活营地、</w:t>
            </w:r>
            <w:r>
              <w:rPr>
                <w:rFonts w:hint="eastAsia"/>
                <w:color w:val="auto"/>
                <w:lang w:eastAsia="zh-CN"/>
              </w:rPr>
              <w:t>探临道路</w:t>
            </w:r>
            <w:r>
              <w:rPr>
                <w:rFonts w:hint="default"/>
                <w:color w:val="auto"/>
              </w:rPr>
              <w:t>占地，以及施工材料堆积、挖掘、</w:t>
            </w:r>
            <w:r>
              <w:rPr>
                <w:rFonts w:hint="eastAsia"/>
                <w:color w:val="auto"/>
                <w:lang w:val="en-US" w:eastAsia="zh-CN"/>
              </w:rPr>
              <w:t>碾压</w:t>
            </w:r>
            <w:r>
              <w:rPr>
                <w:rFonts w:hint="default"/>
                <w:color w:val="auto"/>
              </w:rPr>
              <w:t>、踩踏等均改变原有的土壤结构和理化性质，机械碾压的结果使土壤紧实度增高，地表水入渗减少，土壤团粒结构遭到破坏，降低土壤肥力，不利于野生植被恢复。另外施工过程中，各类机械设备若发生燃油滴漏的情况，也有可能对土壤造成一定的影响。</w:t>
            </w:r>
          </w:p>
          <w:p>
            <w:pPr>
              <w:pStyle w:val="10"/>
              <w:bidi w:val="0"/>
              <w:rPr>
                <w:rFonts w:hint="default"/>
                <w:color w:val="auto"/>
              </w:rPr>
            </w:pPr>
            <w:r>
              <w:rPr>
                <w:rFonts w:hint="default"/>
                <w:color w:val="auto"/>
              </w:rPr>
              <w:t>施工结束后，随着施工设备和人员的撤离，临时占地得到</w:t>
            </w:r>
            <w:r>
              <w:rPr>
                <w:rFonts w:hint="default"/>
                <w:color w:val="auto"/>
                <w:lang w:val="en-US" w:eastAsia="zh-CN"/>
              </w:rPr>
              <w:t>恢复</w:t>
            </w:r>
            <w:r>
              <w:rPr>
                <w:rFonts w:hint="default"/>
                <w:color w:val="auto"/>
              </w:rPr>
              <w:t>，</w:t>
            </w:r>
            <w:bookmarkStart w:id="88" w:name="_Hlk167973179"/>
            <w:r>
              <w:rPr>
                <w:rFonts w:hint="default"/>
                <w:color w:val="auto"/>
              </w:rPr>
              <w:t>项目建设对原有的土壤结构和理化性质影响不大。施工期严格控制施工作业范围，施工机械及施工车辆禁止在</w:t>
            </w:r>
            <w:r>
              <w:rPr>
                <w:rFonts w:hint="default"/>
                <w:color w:val="auto"/>
                <w:lang w:val="en-US" w:eastAsia="zh-CN"/>
              </w:rPr>
              <w:t>施工范围之外区域</w:t>
            </w:r>
            <w:r>
              <w:rPr>
                <w:rFonts w:hint="default"/>
                <w:color w:val="auto"/>
              </w:rPr>
              <w:t>随意行驶，禁止将废水、固体废物排至项目区及周边。</w:t>
            </w:r>
            <w:bookmarkEnd w:id="88"/>
            <w:r>
              <w:rPr>
                <w:rFonts w:hint="default"/>
                <w:color w:val="auto"/>
              </w:rPr>
              <w:t>采取上述措施后，施工期间不会对周围土壤环境产生明显影响。</w:t>
            </w:r>
          </w:p>
          <w:p>
            <w:pPr>
              <w:pStyle w:val="54"/>
              <w:numPr>
                <w:ilvl w:val="0"/>
                <w:numId w:val="9"/>
              </w:numPr>
              <w:bidi w:val="0"/>
              <w:ind w:left="9" w:leftChars="0" w:firstLineChars="0"/>
              <w:rPr>
                <w:rFonts w:hint="default"/>
                <w:color w:val="auto"/>
              </w:rPr>
            </w:pPr>
            <w:r>
              <w:rPr>
                <w:rFonts w:hint="default"/>
                <w:color w:val="auto"/>
              </w:rPr>
              <w:t>声环境影响分析</w:t>
            </w:r>
          </w:p>
          <w:p>
            <w:pPr>
              <w:pStyle w:val="10"/>
              <w:bidi w:val="0"/>
              <w:rPr>
                <w:rFonts w:hint="default"/>
                <w:color w:val="auto"/>
              </w:rPr>
            </w:pPr>
            <w:r>
              <w:rPr>
                <w:rFonts w:hint="default"/>
                <w:color w:val="auto"/>
                <w:lang w:val="en-US" w:eastAsia="zh-CN"/>
              </w:rPr>
              <w:t>本项目</w:t>
            </w:r>
            <w:r>
              <w:rPr>
                <w:rFonts w:hint="default"/>
                <w:color w:val="auto"/>
              </w:rPr>
              <w:t>施工期噪声源</w:t>
            </w:r>
            <w:r>
              <w:rPr>
                <w:rFonts w:hint="default"/>
                <w:color w:val="auto"/>
                <w:lang w:val="en-US" w:eastAsia="zh-CN"/>
              </w:rPr>
              <w:t>主要为</w:t>
            </w:r>
            <w:r>
              <w:rPr>
                <w:rFonts w:hint="default"/>
                <w:color w:val="auto"/>
              </w:rPr>
              <w:t>柴油发电机、柴油机、钻井液循环泵和压裂车等各类施工机械，源强一般为85～110dB（A），基础减振降噪效果约为10dB（A）</w:t>
            </w:r>
            <w:r>
              <w:rPr>
                <w:rFonts w:hint="default"/>
                <w:color w:val="auto"/>
                <w:lang w:eastAsia="zh-CN"/>
              </w:rPr>
              <w:t>。</w:t>
            </w:r>
            <w:r>
              <w:rPr>
                <w:rFonts w:hint="default"/>
                <w:color w:val="auto"/>
              </w:rPr>
              <w:t>根据现场调查，声环境评价范围</w:t>
            </w:r>
            <w:r>
              <w:rPr>
                <w:rFonts w:hint="default"/>
                <w:color w:val="auto"/>
                <w:lang w:val="en-US" w:eastAsia="zh-CN"/>
              </w:rPr>
              <w:t>200m</w:t>
            </w:r>
            <w:r>
              <w:rPr>
                <w:rFonts w:hint="default"/>
                <w:color w:val="auto"/>
              </w:rPr>
              <w:t>内没有固定居住人群等声敏感目标，不会造成扰民现象，施工期的噪声仅对施工人员产生影响。</w:t>
            </w:r>
            <w:bookmarkStart w:id="89" w:name="_Hlk163506224"/>
            <w:r>
              <w:rPr>
                <w:rFonts w:hint="default"/>
                <w:color w:val="auto"/>
              </w:rPr>
              <w:t>施工期噪声源及特性见表</w:t>
            </w:r>
            <w:r>
              <w:rPr>
                <w:rFonts w:hint="default"/>
                <w:color w:val="auto"/>
                <w:lang w:val="en-US" w:eastAsia="zh-CN"/>
              </w:rPr>
              <w:t>4-2</w:t>
            </w:r>
            <w:r>
              <w:rPr>
                <w:rFonts w:hint="default"/>
                <w:color w:val="auto"/>
              </w:rPr>
              <w:t>。</w:t>
            </w:r>
          </w:p>
          <w:p>
            <w:pPr>
              <w:pStyle w:val="10"/>
              <w:bidi w:val="0"/>
              <w:rPr>
                <w:rFonts w:hint="default"/>
                <w:color w:val="auto"/>
              </w:rPr>
            </w:pPr>
          </w:p>
          <w:p>
            <w:pPr>
              <w:pStyle w:val="10"/>
              <w:bidi w:val="0"/>
              <w:rPr>
                <w:rFonts w:hint="default"/>
                <w:color w:val="auto"/>
              </w:rPr>
            </w:pPr>
          </w:p>
          <w:p>
            <w:pPr>
              <w:pStyle w:val="10"/>
              <w:ind w:firstLine="420"/>
              <w:jc w:val="center"/>
              <w:rPr>
                <w:rFonts w:hint="default" w:ascii="Times New Roman" w:hAnsi="Times New Roman" w:eastAsia="黑体" w:cs="Times New Roman"/>
                <w:b w:val="0"/>
                <w:bCs w:val="0"/>
                <w:color w:val="auto"/>
                <w:sz w:val="21"/>
                <w:szCs w:val="21"/>
              </w:rPr>
            </w:pPr>
            <w:r>
              <w:rPr>
                <w:rFonts w:hint="default" w:ascii="Times New Roman" w:hAnsi="Times New Roman" w:eastAsia="黑体" w:cs="Times New Roman"/>
                <w:b w:val="0"/>
                <w:bCs w:val="0"/>
                <w:color w:val="auto"/>
                <w:sz w:val="21"/>
                <w:szCs w:val="21"/>
              </w:rPr>
              <w:t>表</w:t>
            </w:r>
            <w:r>
              <w:rPr>
                <w:rFonts w:hint="default" w:ascii="Times New Roman" w:hAnsi="Times New Roman" w:eastAsia="黑体" w:cs="Times New Roman"/>
                <w:b w:val="0"/>
                <w:bCs w:val="0"/>
                <w:color w:val="auto"/>
                <w:sz w:val="21"/>
                <w:szCs w:val="21"/>
                <w:lang w:val="en-US" w:eastAsia="zh-CN"/>
              </w:rPr>
              <w:t>4-2</w:t>
            </w:r>
            <w:r>
              <w:rPr>
                <w:rFonts w:hint="default" w:ascii="Times New Roman" w:hAnsi="Times New Roman" w:eastAsia="黑体" w:cs="Times New Roman"/>
                <w:b w:val="0"/>
                <w:bCs w:val="0"/>
                <w:color w:val="auto"/>
                <w:sz w:val="21"/>
                <w:szCs w:val="21"/>
              </w:rPr>
              <w:t xml:space="preserve">  施工期主要噪声源强特性</w:t>
            </w:r>
            <w:r>
              <w:rPr>
                <w:rFonts w:hint="default" w:ascii="Times New Roman" w:hAnsi="Times New Roman" w:eastAsia="黑体" w:cs="Times New Roman"/>
                <w:b w:val="0"/>
                <w:bCs w:val="0"/>
                <w:color w:val="auto"/>
                <w:sz w:val="21"/>
                <w:szCs w:val="21"/>
                <w:lang w:val="en-US" w:eastAsia="zh-CN"/>
              </w:rPr>
              <w:t xml:space="preserve">    </w:t>
            </w:r>
            <w:r>
              <w:rPr>
                <w:rFonts w:hint="default" w:ascii="Times New Roman" w:hAnsi="Times New Roman" w:eastAsia="黑体" w:cs="Times New Roman"/>
                <w:b w:val="0"/>
                <w:bCs w:val="0"/>
                <w:color w:val="auto"/>
                <w:sz w:val="21"/>
                <w:szCs w:val="21"/>
              </w:rPr>
              <w:t>单位：dB(A)</w:t>
            </w:r>
          </w:p>
          <w:tbl>
            <w:tblPr>
              <w:tblStyle w:val="53"/>
              <w:tblW w:w="4997"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28" w:type="dxa"/>
                <w:bottom w:w="0" w:type="dxa"/>
                <w:right w:w="28" w:type="dxa"/>
              </w:tblCellMar>
            </w:tblPr>
            <w:tblGrid>
              <w:gridCol w:w="748"/>
              <w:gridCol w:w="1254"/>
              <w:gridCol w:w="604"/>
              <w:gridCol w:w="1061"/>
              <w:gridCol w:w="753"/>
              <w:gridCol w:w="1101"/>
              <w:gridCol w:w="1135"/>
              <w:gridCol w:w="1055"/>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485" w:type="pct"/>
                  <w:vAlign w:val="center"/>
                </w:tcPr>
                <w:p>
                  <w:pPr>
                    <w:pStyle w:val="35"/>
                    <w:bidi w:val="0"/>
                    <w:rPr>
                      <w:rFonts w:hint="default" w:ascii="Times New Roman" w:hAnsi="Times New Roman" w:cs="Times New Roman"/>
                      <w:color w:val="auto"/>
                    </w:rPr>
                  </w:pPr>
                  <w:r>
                    <w:rPr>
                      <w:rFonts w:hint="default"/>
                      <w:color w:val="auto"/>
                    </w:rPr>
                    <w:t>时段</w:t>
                  </w:r>
                </w:p>
              </w:tc>
              <w:tc>
                <w:tcPr>
                  <w:tcW w:w="812" w:type="pct"/>
                  <w:vAlign w:val="center"/>
                </w:tcPr>
                <w:p>
                  <w:pPr>
                    <w:pStyle w:val="35"/>
                    <w:bidi w:val="0"/>
                    <w:rPr>
                      <w:rFonts w:hint="default" w:ascii="Times New Roman" w:hAnsi="Times New Roman" w:cs="Times New Roman"/>
                      <w:color w:val="auto"/>
                    </w:rPr>
                  </w:pPr>
                  <w:r>
                    <w:rPr>
                      <w:rFonts w:hint="default"/>
                      <w:color w:val="auto"/>
                    </w:rPr>
                    <w:t>噪声设备</w:t>
                  </w:r>
                </w:p>
              </w:tc>
              <w:tc>
                <w:tcPr>
                  <w:tcW w:w="391" w:type="pct"/>
                  <w:vAlign w:val="center"/>
                </w:tcPr>
                <w:p>
                  <w:pPr>
                    <w:pStyle w:val="35"/>
                    <w:bidi w:val="0"/>
                    <w:rPr>
                      <w:rFonts w:hint="default" w:ascii="Times New Roman" w:hAnsi="Times New Roman" w:cs="Times New Roman"/>
                      <w:color w:val="auto"/>
                    </w:rPr>
                  </w:pPr>
                  <w:r>
                    <w:rPr>
                      <w:rFonts w:hint="default"/>
                      <w:color w:val="auto"/>
                    </w:rPr>
                    <w:t>数量</w:t>
                  </w:r>
                </w:p>
              </w:tc>
              <w:tc>
                <w:tcPr>
                  <w:tcW w:w="687" w:type="pct"/>
                  <w:vAlign w:val="center"/>
                </w:tcPr>
                <w:p>
                  <w:pPr>
                    <w:pStyle w:val="35"/>
                    <w:bidi w:val="0"/>
                    <w:rPr>
                      <w:rFonts w:hint="default" w:ascii="Times New Roman" w:hAnsi="Times New Roman" w:cs="Times New Roman"/>
                      <w:color w:val="auto"/>
                    </w:rPr>
                  </w:pPr>
                  <w:r>
                    <w:rPr>
                      <w:rFonts w:hint="default"/>
                      <w:color w:val="auto"/>
                    </w:rPr>
                    <w:t>单台源强</w:t>
                  </w:r>
                </w:p>
              </w:tc>
              <w:tc>
                <w:tcPr>
                  <w:tcW w:w="488" w:type="pct"/>
                  <w:vAlign w:val="center"/>
                </w:tcPr>
                <w:p>
                  <w:pPr>
                    <w:pStyle w:val="35"/>
                    <w:bidi w:val="0"/>
                    <w:rPr>
                      <w:rFonts w:hint="default" w:ascii="Times New Roman" w:hAnsi="Times New Roman" w:cs="Times New Roman"/>
                      <w:color w:val="auto"/>
                    </w:rPr>
                  </w:pPr>
                  <w:r>
                    <w:rPr>
                      <w:rFonts w:hint="default"/>
                      <w:color w:val="auto"/>
                    </w:rPr>
                    <w:t>距声源</w:t>
                  </w:r>
                </w:p>
              </w:tc>
              <w:tc>
                <w:tcPr>
                  <w:tcW w:w="713" w:type="pct"/>
                  <w:vAlign w:val="center"/>
                </w:tcPr>
                <w:p>
                  <w:pPr>
                    <w:pStyle w:val="35"/>
                    <w:bidi w:val="0"/>
                    <w:rPr>
                      <w:rFonts w:hint="default" w:ascii="Times New Roman" w:hAnsi="Times New Roman" w:cs="Times New Roman"/>
                      <w:color w:val="auto"/>
                    </w:rPr>
                  </w:pPr>
                  <w:r>
                    <w:rPr>
                      <w:rFonts w:hint="default"/>
                      <w:color w:val="auto"/>
                    </w:rPr>
                    <w:t>噪声特性</w:t>
                  </w:r>
                </w:p>
              </w:tc>
              <w:tc>
                <w:tcPr>
                  <w:tcW w:w="735" w:type="pct"/>
                  <w:vAlign w:val="center"/>
                </w:tcPr>
                <w:p>
                  <w:pPr>
                    <w:pStyle w:val="35"/>
                    <w:bidi w:val="0"/>
                    <w:rPr>
                      <w:rFonts w:hint="default" w:ascii="Times New Roman" w:hAnsi="Times New Roman" w:cs="Times New Roman"/>
                      <w:color w:val="auto"/>
                    </w:rPr>
                  </w:pPr>
                  <w:r>
                    <w:rPr>
                      <w:rFonts w:hint="default"/>
                      <w:color w:val="auto"/>
                    </w:rPr>
                    <w:t>排放时间</w:t>
                  </w:r>
                </w:p>
              </w:tc>
              <w:tc>
                <w:tcPr>
                  <w:tcW w:w="683" w:type="pct"/>
                  <w:vAlign w:val="center"/>
                </w:tcPr>
                <w:p>
                  <w:pPr>
                    <w:pStyle w:val="35"/>
                    <w:bidi w:val="0"/>
                    <w:rPr>
                      <w:rFonts w:hint="default" w:ascii="Times New Roman" w:hAnsi="Times New Roman" w:cs="Times New Roman"/>
                      <w:color w:val="auto"/>
                    </w:rPr>
                  </w:pPr>
                  <w:r>
                    <w:rPr>
                      <w:rFonts w:hint="default"/>
                      <w:color w:val="auto"/>
                    </w:rPr>
                    <w:t>声源种类</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485" w:type="pct"/>
                  <w:vMerge w:val="restart"/>
                  <w:vAlign w:val="center"/>
                </w:tcPr>
                <w:p>
                  <w:pPr>
                    <w:pStyle w:val="35"/>
                    <w:bidi w:val="0"/>
                    <w:rPr>
                      <w:rFonts w:hint="default" w:ascii="Times New Roman" w:hAnsi="Times New Roman" w:cs="Times New Roman"/>
                      <w:color w:val="auto"/>
                    </w:rPr>
                  </w:pPr>
                  <w:r>
                    <w:rPr>
                      <w:rFonts w:hint="default"/>
                      <w:color w:val="auto"/>
                    </w:rPr>
                    <w:t>钻井期</w:t>
                  </w:r>
                </w:p>
              </w:tc>
              <w:tc>
                <w:tcPr>
                  <w:tcW w:w="812" w:type="pct"/>
                  <w:vAlign w:val="center"/>
                </w:tcPr>
                <w:p>
                  <w:pPr>
                    <w:pStyle w:val="35"/>
                    <w:bidi w:val="0"/>
                    <w:rPr>
                      <w:rFonts w:hint="default" w:ascii="Times New Roman" w:hAnsi="Times New Roman" w:eastAsia="宋体" w:cs="Times New Roman"/>
                      <w:color w:val="auto"/>
                      <w:lang w:val="en-US" w:eastAsia="zh-CN"/>
                    </w:rPr>
                  </w:pPr>
                  <w:r>
                    <w:rPr>
                      <w:rFonts w:hint="default"/>
                      <w:color w:val="auto"/>
                      <w:lang w:val="en-US" w:eastAsia="zh-CN"/>
                    </w:rPr>
                    <w:t>钻机</w:t>
                  </w:r>
                </w:p>
              </w:tc>
              <w:tc>
                <w:tcPr>
                  <w:tcW w:w="391" w:type="pct"/>
                  <w:vAlign w:val="center"/>
                </w:tcPr>
                <w:p>
                  <w:pPr>
                    <w:pStyle w:val="35"/>
                    <w:bidi w:val="0"/>
                    <w:rPr>
                      <w:rFonts w:hint="default" w:ascii="Times New Roman" w:hAnsi="Times New Roman" w:cs="Times New Roman"/>
                      <w:color w:val="auto"/>
                    </w:rPr>
                  </w:pPr>
                  <w:r>
                    <w:rPr>
                      <w:rFonts w:hint="default"/>
                      <w:color w:val="auto"/>
                    </w:rPr>
                    <w:t>1</w:t>
                  </w:r>
                </w:p>
              </w:tc>
              <w:tc>
                <w:tcPr>
                  <w:tcW w:w="687" w:type="pct"/>
                  <w:vAlign w:val="center"/>
                </w:tcPr>
                <w:p>
                  <w:pPr>
                    <w:pStyle w:val="35"/>
                    <w:bidi w:val="0"/>
                    <w:rPr>
                      <w:rFonts w:hint="default" w:ascii="Times New Roman" w:hAnsi="Times New Roman" w:cs="Times New Roman"/>
                      <w:color w:val="auto"/>
                    </w:rPr>
                  </w:pPr>
                  <w:r>
                    <w:rPr>
                      <w:rFonts w:hint="default"/>
                      <w:color w:val="auto"/>
                    </w:rPr>
                    <w:t>90</w:t>
                  </w:r>
                </w:p>
              </w:tc>
              <w:tc>
                <w:tcPr>
                  <w:tcW w:w="488" w:type="pct"/>
                  <w:vAlign w:val="center"/>
                </w:tcPr>
                <w:p>
                  <w:pPr>
                    <w:pStyle w:val="35"/>
                    <w:bidi w:val="0"/>
                    <w:rPr>
                      <w:rFonts w:hint="default" w:ascii="Times New Roman" w:hAnsi="Times New Roman" w:cs="Times New Roman"/>
                      <w:color w:val="auto"/>
                    </w:rPr>
                  </w:pPr>
                  <w:r>
                    <w:rPr>
                      <w:rFonts w:hint="default"/>
                      <w:color w:val="auto"/>
                    </w:rPr>
                    <w:t>1m</w:t>
                  </w:r>
                </w:p>
              </w:tc>
              <w:tc>
                <w:tcPr>
                  <w:tcW w:w="713" w:type="pct"/>
                  <w:vAlign w:val="center"/>
                </w:tcPr>
                <w:p>
                  <w:pPr>
                    <w:pStyle w:val="35"/>
                    <w:bidi w:val="0"/>
                    <w:rPr>
                      <w:rFonts w:hint="default" w:ascii="Times New Roman" w:hAnsi="Times New Roman" w:cs="Times New Roman"/>
                      <w:color w:val="auto"/>
                    </w:rPr>
                  </w:pPr>
                  <w:r>
                    <w:rPr>
                      <w:rFonts w:hint="default"/>
                      <w:color w:val="auto"/>
                    </w:rPr>
                    <w:t>机械</w:t>
                  </w:r>
                </w:p>
              </w:tc>
              <w:tc>
                <w:tcPr>
                  <w:tcW w:w="735" w:type="pct"/>
                  <w:vAlign w:val="center"/>
                </w:tcPr>
                <w:p>
                  <w:pPr>
                    <w:pStyle w:val="35"/>
                    <w:bidi w:val="0"/>
                    <w:rPr>
                      <w:rFonts w:hint="default" w:ascii="Times New Roman" w:hAnsi="Times New Roman" w:cs="Times New Roman"/>
                      <w:color w:val="auto"/>
                    </w:rPr>
                  </w:pPr>
                  <w:r>
                    <w:rPr>
                      <w:rFonts w:hint="default"/>
                      <w:color w:val="auto"/>
                    </w:rPr>
                    <w:t>昼夜连续</w:t>
                  </w:r>
                </w:p>
              </w:tc>
              <w:tc>
                <w:tcPr>
                  <w:tcW w:w="683" w:type="pct"/>
                  <w:vAlign w:val="center"/>
                </w:tcPr>
                <w:p>
                  <w:pPr>
                    <w:pStyle w:val="35"/>
                    <w:bidi w:val="0"/>
                    <w:rPr>
                      <w:rFonts w:hint="default" w:ascii="Times New Roman" w:hAnsi="Times New Roman" w:cs="Times New Roman"/>
                      <w:color w:val="auto"/>
                    </w:rPr>
                  </w:pPr>
                  <w:r>
                    <w:rPr>
                      <w:rFonts w:hint="default"/>
                      <w:color w:val="auto"/>
                    </w:rPr>
                    <w:t>固定声源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485" w:type="pct"/>
                  <w:vMerge w:val="continue"/>
                  <w:vAlign w:val="center"/>
                </w:tcPr>
                <w:p>
                  <w:pPr>
                    <w:rPr>
                      <w:rFonts w:hint="default" w:ascii="Times New Roman" w:hAnsi="Times New Roman" w:cs="Times New Roman"/>
                      <w:color w:val="auto"/>
                    </w:rPr>
                  </w:pPr>
                </w:p>
              </w:tc>
              <w:tc>
                <w:tcPr>
                  <w:tcW w:w="812" w:type="pct"/>
                  <w:vAlign w:val="center"/>
                </w:tcPr>
                <w:p>
                  <w:pPr>
                    <w:pStyle w:val="35"/>
                    <w:bidi w:val="0"/>
                    <w:rPr>
                      <w:rFonts w:hint="default" w:ascii="Times New Roman" w:hAnsi="Times New Roman" w:cs="Times New Roman"/>
                      <w:color w:val="auto"/>
                    </w:rPr>
                  </w:pPr>
                  <w:r>
                    <w:rPr>
                      <w:rFonts w:hint="default"/>
                      <w:color w:val="auto"/>
                    </w:rPr>
                    <w:t>泥浆泵</w:t>
                  </w:r>
                </w:p>
              </w:tc>
              <w:tc>
                <w:tcPr>
                  <w:tcW w:w="391" w:type="pct"/>
                  <w:vAlign w:val="center"/>
                </w:tcPr>
                <w:p>
                  <w:pPr>
                    <w:pStyle w:val="35"/>
                    <w:bidi w:val="0"/>
                    <w:rPr>
                      <w:rFonts w:hint="default" w:ascii="Times New Roman" w:hAnsi="Times New Roman" w:cs="Times New Roman"/>
                      <w:color w:val="auto"/>
                    </w:rPr>
                  </w:pPr>
                  <w:r>
                    <w:rPr>
                      <w:rFonts w:hint="default"/>
                      <w:color w:val="auto"/>
                    </w:rPr>
                    <w:t>2</w:t>
                  </w:r>
                </w:p>
              </w:tc>
              <w:tc>
                <w:tcPr>
                  <w:tcW w:w="687" w:type="pct"/>
                  <w:vAlign w:val="center"/>
                </w:tcPr>
                <w:p>
                  <w:pPr>
                    <w:pStyle w:val="35"/>
                    <w:bidi w:val="0"/>
                    <w:rPr>
                      <w:rFonts w:hint="default" w:ascii="Times New Roman" w:hAnsi="Times New Roman" w:cs="Times New Roman"/>
                      <w:color w:val="auto"/>
                    </w:rPr>
                  </w:pPr>
                  <w:r>
                    <w:rPr>
                      <w:rFonts w:hint="default"/>
                      <w:color w:val="auto"/>
                    </w:rPr>
                    <w:t>90</w:t>
                  </w:r>
                </w:p>
              </w:tc>
              <w:tc>
                <w:tcPr>
                  <w:tcW w:w="488" w:type="pct"/>
                  <w:vAlign w:val="center"/>
                </w:tcPr>
                <w:p>
                  <w:pPr>
                    <w:pStyle w:val="35"/>
                    <w:bidi w:val="0"/>
                    <w:rPr>
                      <w:rFonts w:hint="default" w:ascii="Times New Roman" w:hAnsi="Times New Roman" w:cs="Times New Roman"/>
                      <w:color w:val="auto"/>
                    </w:rPr>
                  </w:pPr>
                  <w:r>
                    <w:rPr>
                      <w:rFonts w:hint="default"/>
                      <w:color w:val="auto"/>
                    </w:rPr>
                    <w:t>1m</w:t>
                  </w:r>
                </w:p>
              </w:tc>
              <w:tc>
                <w:tcPr>
                  <w:tcW w:w="713" w:type="pct"/>
                  <w:vAlign w:val="center"/>
                </w:tcPr>
                <w:p>
                  <w:pPr>
                    <w:pStyle w:val="35"/>
                    <w:bidi w:val="0"/>
                    <w:rPr>
                      <w:rFonts w:hint="default" w:ascii="Times New Roman" w:hAnsi="Times New Roman" w:cs="Times New Roman"/>
                      <w:color w:val="auto"/>
                    </w:rPr>
                  </w:pPr>
                  <w:r>
                    <w:rPr>
                      <w:rFonts w:hint="default"/>
                      <w:color w:val="auto"/>
                    </w:rPr>
                    <w:t>机械</w:t>
                  </w:r>
                </w:p>
              </w:tc>
              <w:tc>
                <w:tcPr>
                  <w:tcW w:w="735" w:type="pct"/>
                  <w:vAlign w:val="center"/>
                </w:tcPr>
                <w:p>
                  <w:pPr>
                    <w:pStyle w:val="35"/>
                    <w:bidi w:val="0"/>
                    <w:rPr>
                      <w:rFonts w:hint="default" w:ascii="Times New Roman" w:hAnsi="Times New Roman" w:cs="Times New Roman"/>
                      <w:color w:val="auto"/>
                    </w:rPr>
                  </w:pPr>
                  <w:r>
                    <w:rPr>
                      <w:rFonts w:hint="default"/>
                      <w:color w:val="auto"/>
                    </w:rPr>
                    <w:t>昼夜连续</w:t>
                  </w:r>
                </w:p>
              </w:tc>
              <w:tc>
                <w:tcPr>
                  <w:tcW w:w="683" w:type="pct"/>
                  <w:vAlign w:val="center"/>
                </w:tcPr>
                <w:p>
                  <w:pPr>
                    <w:pStyle w:val="35"/>
                    <w:bidi w:val="0"/>
                    <w:rPr>
                      <w:rFonts w:hint="default" w:ascii="Times New Roman" w:hAnsi="Times New Roman" w:cs="Times New Roman"/>
                      <w:color w:val="auto"/>
                    </w:rPr>
                  </w:pPr>
                  <w:r>
                    <w:rPr>
                      <w:rFonts w:hint="default"/>
                      <w:color w:val="auto"/>
                    </w:rPr>
                    <w:t>固定声源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485" w:type="pct"/>
                  <w:vMerge w:val="continue"/>
                  <w:vAlign w:val="center"/>
                </w:tcPr>
                <w:p>
                  <w:pPr>
                    <w:rPr>
                      <w:rFonts w:hint="default" w:ascii="Times New Roman" w:hAnsi="Times New Roman" w:cs="Times New Roman"/>
                      <w:color w:val="auto"/>
                    </w:rPr>
                  </w:pPr>
                </w:p>
              </w:tc>
              <w:tc>
                <w:tcPr>
                  <w:tcW w:w="812" w:type="pct"/>
                  <w:vAlign w:val="center"/>
                </w:tcPr>
                <w:p>
                  <w:pPr>
                    <w:pStyle w:val="35"/>
                    <w:bidi w:val="0"/>
                    <w:rPr>
                      <w:rFonts w:hint="default" w:ascii="Times New Roman" w:hAnsi="Times New Roman" w:cs="Times New Roman"/>
                      <w:color w:val="auto"/>
                    </w:rPr>
                  </w:pPr>
                  <w:r>
                    <w:rPr>
                      <w:rFonts w:hint="default"/>
                      <w:color w:val="auto"/>
                    </w:rPr>
                    <w:t>振动筛</w:t>
                  </w:r>
                </w:p>
              </w:tc>
              <w:tc>
                <w:tcPr>
                  <w:tcW w:w="391" w:type="pct"/>
                  <w:vAlign w:val="center"/>
                </w:tcPr>
                <w:p>
                  <w:pPr>
                    <w:pStyle w:val="35"/>
                    <w:bidi w:val="0"/>
                    <w:rPr>
                      <w:rFonts w:hint="default" w:ascii="Times New Roman" w:hAnsi="Times New Roman" w:cs="Times New Roman"/>
                      <w:color w:val="auto"/>
                    </w:rPr>
                  </w:pPr>
                  <w:r>
                    <w:rPr>
                      <w:rFonts w:hint="default"/>
                      <w:color w:val="auto"/>
                    </w:rPr>
                    <w:t>3</w:t>
                  </w:r>
                </w:p>
              </w:tc>
              <w:tc>
                <w:tcPr>
                  <w:tcW w:w="687" w:type="pct"/>
                  <w:vAlign w:val="center"/>
                </w:tcPr>
                <w:p>
                  <w:pPr>
                    <w:pStyle w:val="35"/>
                    <w:bidi w:val="0"/>
                    <w:rPr>
                      <w:rFonts w:hint="default" w:ascii="Times New Roman" w:hAnsi="Times New Roman" w:cs="Times New Roman"/>
                      <w:color w:val="auto"/>
                    </w:rPr>
                  </w:pPr>
                  <w:r>
                    <w:rPr>
                      <w:rFonts w:hint="default"/>
                      <w:color w:val="auto"/>
                    </w:rPr>
                    <w:t>100</w:t>
                  </w:r>
                </w:p>
              </w:tc>
              <w:tc>
                <w:tcPr>
                  <w:tcW w:w="488" w:type="pct"/>
                  <w:vAlign w:val="center"/>
                </w:tcPr>
                <w:p>
                  <w:pPr>
                    <w:pStyle w:val="35"/>
                    <w:bidi w:val="0"/>
                    <w:rPr>
                      <w:rFonts w:hint="default" w:ascii="Times New Roman" w:hAnsi="Times New Roman" w:cs="Times New Roman"/>
                      <w:color w:val="auto"/>
                    </w:rPr>
                  </w:pPr>
                  <w:r>
                    <w:rPr>
                      <w:rFonts w:hint="default"/>
                      <w:color w:val="auto"/>
                    </w:rPr>
                    <w:t>1m</w:t>
                  </w:r>
                </w:p>
              </w:tc>
              <w:tc>
                <w:tcPr>
                  <w:tcW w:w="713" w:type="pct"/>
                  <w:vAlign w:val="center"/>
                </w:tcPr>
                <w:p>
                  <w:pPr>
                    <w:pStyle w:val="35"/>
                    <w:bidi w:val="0"/>
                    <w:rPr>
                      <w:rFonts w:hint="default" w:ascii="Times New Roman" w:hAnsi="Times New Roman" w:cs="Times New Roman"/>
                      <w:color w:val="auto"/>
                    </w:rPr>
                  </w:pPr>
                  <w:r>
                    <w:rPr>
                      <w:rFonts w:hint="default"/>
                      <w:color w:val="auto"/>
                    </w:rPr>
                    <w:t>机械</w:t>
                  </w:r>
                </w:p>
              </w:tc>
              <w:tc>
                <w:tcPr>
                  <w:tcW w:w="735" w:type="pct"/>
                  <w:vAlign w:val="center"/>
                </w:tcPr>
                <w:p>
                  <w:pPr>
                    <w:pStyle w:val="35"/>
                    <w:bidi w:val="0"/>
                    <w:rPr>
                      <w:rFonts w:hint="default" w:ascii="Times New Roman" w:hAnsi="Times New Roman" w:cs="Times New Roman"/>
                      <w:color w:val="auto"/>
                    </w:rPr>
                  </w:pPr>
                  <w:r>
                    <w:rPr>
                      <w:rFonts w:hint="default"/>
                      <w:color w:val="auto"/>
                    </w:rPr>
                    <w:t>昼夜连续</w:t>
                  </w:r>
                </w:p>
              </w:tc>
              <w:tc>
                <w:tcPr>
                  <w:tcW w:w="683" w:type="pct"/>
                  <w:vAlign w:val="center"/>
                </w:tcPr>
                <w:p>
                  <w:pPr>
                    <w:pStyle w:val="35"/>
                    <w:bidi w:val="0"/>
                    <w:rPr>
                      <w:rFonts w:hint="default" w:ascii="Times New Roman" w:hAnsi="Times New Roman" w:cs="Times New Roman"/>
                      <w:color w:val="auto"/>
                    </w:rPr>
                  </w:pPr>
                  <w:r>
                    <w:rPr>
                      <w:rFonts w:hint="default"/>
                      <w:color w:val="auto"/>
                    </w:rPr>
                    <w:t>固定声源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485" w:type="pct"/>
                  <w:vMerge w:val="continue"/>
                  <w:vAlign w:val="center"/>
                </w:tcPr>
                <w:p>
                  <w:pPr>
                    <w:rPr>
                      <w:rFonts w:hint="default" w:ascii="Times New Roman" w:hAnsi="Times New Roman" w:cs="Times New Roman"/>
                      <w:color w:val="auto"/>
                    </w:rPr>
                  </w:pPr>
                </w:p>
              </w:tc>
              <w:tc>
                <w:tcPr>
                  <w:tcW w:w="812" w:type="pct"/>
                  <w:vAlign w:val="center"/>
                </w:tcPr>
                <w:p>
                  <w:pPr>
                    <w:pStyle w:val="35"/>
                    <w:bidi w:val="0"/>
                    <w:rPr>
                      <w:rFonts w:hint="default" w:ascii="Times New Roman" w:hAnsi="Times New Roman" w:cs="Times New Roman"/>
                      <w:color w:val="auto"/>
                    </w:rPr>
                  </w:pPr>
                  <w:r>
                    <w:rPr>
                      <w:rFonts w:hint="default"/>
                      <w:color w:val="auto"/>
                    </w:rPr>
                    <w:t>柴油发电机</w:t>
                  </w:r>
                </w:p>
              </w:tc>
              <w:tc>
                <w:tcPr>
                  <w:tcW w:w="391" w:type="pct"/>
                  <w:vAlign w:val="center"/>
                </w:tcPr>
                <w:p>
                  <w:pPr>
                    <w:pStyle w:val="35"/>
                    <w:bidi w:val="0"/>
                    <w:rPr>
                      <w:rFonts w:hint="default" w:ascii="Times New Roman" w:hAnsi="Times New Roman" w:cs="Times New Roman"/>
                      <w:color w:val="auto"/>
                    </w:rPr>
                  </w:pPr>
                  <w:r>
                    <w:rPr>
                      <w:rFonts w:hint="default"/>
                      <w:color w:val="auto"/>
                    </w:rPr>
                    <w:t>2</w:t>
                  </w:r>
                </w:p>
              </w:tc>
              <w:tc>
                <w:tcPr>
                  <w:tcW w:w="687" w:type="pct"/>
                  <w:vAlign w:val="center"/>
                </w:tcPr>
                <w:p>
                  <w:pPr>
                    <w:pStyle w:val="35"/>
                    <w:bidi w:val="0"/>
                    <w:rPr>
                      <w:rFonts w:hint="default" w:ascii="Times New Roman" w:hAnsi="Times New Roman" w:cs="Times New Roman"/>
                      <w:color w:val="auto"/>
                    </w:rPr>
                  </w:pPr>
                  <w:r>
                    <w:rPr>
                      <w:rFonts w:hint="default"/>
                      <w:color w:val="auto"/>
                    </w:rPr>
                    <w:t>85</w:t>
                  </w:r>
                </w:p>
              </w:tc>
              <w:tc>
                <w:tcPr>
                  <w:tcW w:w="488" w:type="pct"/>
                  <w:vAlign w:val="center"/>
                </w:tcPr>
                <w:p>
                  <w:pPr>
                    <w:pStyle w:val="35"/>
                    <w:bidi w:val="0"/>
                    <w:rPr>
                      <w:rFonts w:hint="default" w:ascii="Times New Roman" w:hAnsi="Times New Roman" w:cs="Times New Roman"/>
                      <w:color w:val="auto"/>
                    </w:rPr>
                  </w:pPr>
                  <w:r>
                    <w:rPr>
                      <w:rFonts w:hint="default"/>
                      <w:color w:val="auto"/>
                    </w:rPr>
                    <w:t>1m</w:t>
                  </w:r>
                </w:p>
              </w:tc>
              <w:tc>
                <w:tcPr>
                  <w:tcW w:w="713" w:type="pct"/>
                  <w:vAlign w:val="center"/>
                </w:tcPr>
                <w:p>
                  <w:pPr>
                    <w:pStyle w:val="35"/>
                    <w:bidi w:val="0"/>
                    <w:rPr>
                      <w:rFonts w:hint="default" w:ascii="Times New Roman" w:hAnsi="Times New Roman" w:cs="Times New Roman"/>
                      <w:color w:val="auto"/>
                    </w:rPr>
                  </w:pPr>
                  <w:r>
                    <w:rPr>
                      <w:rFonts w:hint="default"/>
                      <w:color w:val="auto"/>
                    </w:rPr>
                    <w:t>机械</w:t>
                  </w:r>
                </w:p>
              </w:tc>
              <w:tc>
                <w:tcPr>
                  <w:tcW w:w="735" w:type="pct"/>
                  <w:vAlign w:val="center"/>
                </w:tcPr>
                <w:p>
                  <w:pPr>
                    <w:pStyle w:val="35"/>
                    <w:bidi w:val="0"/>
                    <w:rPr>
                      <w:rFonts w:hint="default" w:ascii="Times New Roman" w:hAnsi="Times New Roman" w:cs="Times New Roman"/>
                      <w:color w:val="auto"/>
                    </w:rPr>
                  </w:pPr>
                  <w:r>
                    <w:rPr>
                      <w:rFonts w:hint="default"/>
                      <w:color w:val="auto"/>
                    </w:rPr>
                    <w:t>昼夜连续</w:t>
                  </w:r>
                </w:p>
              </w:tc>
              <w:tc>
                <w:tcPr>
                  <w:tcW w:w="683" w:type="pct"/>
                  <w:vAlign w:val="center"/>
                </w:tcPr>
                <w:p>
                  <w:pPr>
                    <w:pStyle w:val="35"/>
                    <w:bidi w:val="0"/>
                    <w:rPr>
                      <w:rFonts w:hint="default" w:ascii="Times New Roman" w:hAnsi="Times New Roman" w:cs="Times New Roman"/>
                      <w:color w:val="auto"/>
                    </w:rPr>
                  </w:pPr>
                  <w:r>
                    <w:rPr>
                      <w:rFonts w:hint="default"/>
                      <w:color w:val="auto"/>
                    </w:rPr>
                    <w:t>固定声源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485" w:type="pct"/>
                  <w:vMerge w:val="continue"/>
                  <w:vAlign w:val="center"/>
                </w:tcPr>
                <w:p>
                  <w:pPr>
                    <w:rPr>
                      <w:rFonts w:hint="default" w:ascii="Times New Roman" w:hAnsi="Times New Roman" w:cs="Times New Roman"/>
                      <w:color w:val="auto"/>
                    </w:rPr>
                  </w:pPr>
                </w:p>
              </w:tc>
              <w:tc>
                <w:tcPr>
                  <w:tcW w:w="812" w:type="pct"/>
                  <w:vAlign w:val="center"/>
                </w:tcPr>
                <w:p>
                  <w:pPr>
                    <w:pStyle w:val="35"/>
                    <w:bidi w:val="0"/>
                    <w:rPr>
                      <w:rFonts w:hint="default" w:ascii="Times New Roman" w:hAnsi="Times New Roman" w:cs="Times New Roman"/>
                      <w:color w:val="auto"/>
                    </w:rPr>
                  </w:pPr>
                  <w:r>
                    <w:rPr>
                      <w:rFonts w:hint="default"/>
                      <w:color w:val="auto"/>
                    </w:rPr>
                    <w:t>柴油机</w:t>
                  </w:r>
                </w:p>
              </w:tc>
              <w:tc>
                <w:tcPr>
                  <w:tcW w:w="391" w:type="pct"/>
                  <w:vAlign w:val="center"/>
                </w:tcPr>
                <w:p>
                  <w:pPr>
                    <w:pStyle w:val="35"/>
                    <w:bidi w:val="0"/>
                    <w:rPr>
                      <w:rFonts w:hint="default" w:ascii="Times New Roman" w:hAnsi="Times New Roman" w:cs="Times New Roman"/>
                      <w:color w:val="auto"/>
                    </w:rPr>
                  </w:pPr>
                  <w:r>
                    <w:rPr>
                      <w:rFonts w:hint="default"/>
                      <w:color w:val="auto"/>
                    </w:rPr>
                    <w:t>4</w:t>
                  </w:r>
                </w:p>
              </w:tc>
              <w:tc>
                <w:tcPr>
                  <w:tcW w:w="687" w:type="pct"/>
                  <w:vAlign w:val="center"/>
                </w:tcPr>
                <w:p>
                  <w:pPr>
                    <w:pStyle w:val="35"/>
                    <w:bidi w:val="0"/>
                    <w:rPr>
                      <w:rFonts w:hint="default" w:ascii="Times New Roman" w:hAnsi="Times New Roman" w:cs="Times New Roman"/>
                      <w:color w:val="auto"/>
                    </w:rPr>
                  </w:pPr>
                  <w:r>
                    <w:rPr>
                      <w:rFonts w:hint="default"/>
                      <w:color w:val="auto"/>
                    </w:rPr>
                    <w:t>95</w:t>
                  </w:r>
                </w:p>
              </w:tc>
              <w:tc>
                <w:tcPr>
                  <w:tcW w:w="488" w:type="pct"/>
                  <w:vAlign w:val="center"/>
                </w:tcPr>
                <w:p>
                  <w:pPr>
                    <w:pStyle w:val="35"/>
                    <w:bidi w:val="0"/>
                    <w:rPr>
                      <w:rFonts w:hint="default" w:ascii="Times New Roman" w:hAnsi="Times New Roman" w:cs="Times New Roman"/>
                      <w:color w:val="auto"/>
                    </w:rPr>
                  </w:pPr>
                  <w:r>
                    <w:rPr>
                      <w:rFonts w:hint="default"/>
                      <w:color w:val="auto"/>
                    </w:rPr>
                    <w:t>1m</w:t>
                  </w:r>
                </w:p>
              </w:tc>
              <w:tc>
                <w:tcPr>
                  <w:tcW w:w="713" w:type="pct"/>
                  <w:vAlign w:val="center"/>
                </w:tcPr>
                <w:p>
                  <w:pPr>
                    <w:pStyle w:val="35"/>
                    <w:bidi w:val="0"/>
                    <w:rPr>
                      <w:rFonts w:hint="default" w:ascii="Times New Roman" w:hAnsi="Times New Roman" w:cs="Times New Roman"/>
                      <w:color w:val="auto"/>
                    </w:rPr>
                  </w:pPr>
                  <w:r>
                    <w:rPr>
                      <w:rFonts w:hint="default"/>
                      <w:color w:val="auto"/>
                    </w:rPr>
                    <w:t>机械</w:t>
                  </w:r>
                </w:p>
              </w:tc>
              <w:tc>
                <w:tcPr>
                  <w:tcW w:w="735" w:type="pct"/>
                  <w:vAlign w:val="center"/>
                </w:tcPr>
                <w:p>
                  <w:pPr>
                    <w:pStyle w:val="35"/>
                    <w:bidi w:val="0"/>
                    <w:rPr>
                      <w:rFonts w:hint="default" w:ascii="Times New Roman" w:hAnsi="Times New Roman" w:cs="Times New Roman"/>
                      <w:color w:val="auto"/>
                    </w:rPr>
                  </w:pPr>
                  <w:r>
                    <w:rPr>
                      <w:rFonts w:hint="default"/>
                      <w:color w:val="auto"/>
                    </w:rPr>
                    <w:t>昼夜连续</w:t>
                  </w:r>
                </w:p>
              </w:tc>
              <w:tc>
                <w:tcPr>
                  <w:tcW w:w="683" w:type="pct"/>
                  <w:vAlign w:val="center"/>
                </w:tcPr>
                <w:p>
                  <w:pPr>
                    <w:pStyle w:val="35"/>
                    <w:bidi w:val="0"/>
                    <w:rPr>
                      <w:rFonts w:hint="default" w:ascii="Times New Roman" w:hAnsi="Times New Roman" w:cs="Times New Roman"/>
                      <w:color w:val="auto"/>
                    </w:rPr>
                  </w:pPr>
                  <w:r>
                    <w:rPr>
                      <w:rFonts w:hint="default"/>
                      <w:color w:val="auto"/>
                    </w:rPr>
                    <w:t>固定声源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485" w:type="pct"/>
                  <w:vMerge w:val="restart"/>
                  <w:vAlign w:val="center"/>
                </w:tcPr>
                <w:p>
                  <w:pPr>
                    <w:pStyle w:val="35"/>
                    <w:bidi w:val="0"/>
                    <w:rPr>
                      <w:rFonts w:hint="default" w:ascii="Times New Roman" w:hAnsi="Times New Roman" w:eastAsia="宋体" w:cs="Times New Roman"/>
                      <w:color w:val="auto"/>
                      <w:lang w:val="en-US" w:eastAsia="zh-CN"/>
                    </w:rPr>
                  </w:pPr>
                  <w:r>
                    <w:rPr>
                      <w:rFonts w:hint="default"/>
                      <w:color w:val="auto"/>
                      <w:lang w:val="en-US" w:eastAsia="zh-CN"/>
                    </w:rPr>
                    <w:t>试油期</w:t>
                  </w:r>
                </w:p>
              </w:tc>
              <w:tc>
                <w:tcPr>
                  <w:tcW w:w="812" w:type="pct"/>
                  <w:vAlign w:val="center"/>
                </w:tcPr>
                <w:p>
                  <w:pPr>
                    <w:pStyle w:val="35"/>
                    <w:bidi w:val="0"/>
                    <w:rPr>
                      <w:rFonts w:hint="default" w:ascii="Times New Roman" w:hAnsi="Times New Roman" w:cs="Times New Roman"/>
                      <w:color w:val="auto"/>
                    </w:rPr>
                  </w:pPr>
                  <w:r>
                    <w:rPr>
                      <w:rFonts w:hint="default"/>
                      <w:color w:val="auto"/>
                    </w:rPr>
                    <w:t>压裂车</w:t>
                  </w:r>
                </w:p>
              </w:tc>
              <w:tc>
                <w:tcPr>
                  <w:tcW w:w="391" w:type="pct"/>
                  <w:vAlign w:val="center"/>
                </w:tcPr>
                <w:p>
                  <w:pPr>
                    <w:pStyle w:val="35"/>
                    <w:bidi w:val="0"/>
                    <w:rPr>
                      <w:rFonts w:hint="default" w:ascii="Times New Roman" w:hAnsi="Times New Roman" w:cs="Times New Roman"/>
                      <w:color w:val="auto"/>
                    </w:rPr>
                  </w:pPr>
                  <w:r>
                    <w:rPr>
                      <w:rFonts w:hint="default"/>
                      <w:color w:val="auto"/>
                    </w:rPr>
                    <w:t>8</w:t>
                  </w:r>
                </w:p>
              </w:tc>
              <w:tc>
                <w:tcPr>
                  <w:tcW w:w="687" w:type="pct"/>
                  <w:vAlign w:val="center"/>
                </w:tcPr>
                <w:p>
                  <w:pPr>
                    <w:pStyle w:val="35"/>
                    <w:bidi w:val="0"/>
                    <w:rPr>
                      <w:rFonts w:hint="default" w:ascii="Times New Roman" w:hAnsi="Times New Roman" w:cs="Times New Roman"/>
                      <w:color w:val="auto"/>
                    </w:rPr>
                  </w:pPr>
                  <w:r>
                    <w:rPr>
                      <w:rFonts w:hint="default"/>
                      <w:color w:val="auto"/>
                    </w:rPr>
                    <w:t>100</w:t>
                  </w:r>
                </w:p>
              </w:tc>
              <w:tc>
                <w:tcPr>
                  <w:tcW w:w="488" w:type="pct"/>
                  <w:vAlign w:val="center"/>
                </w:tcPr>
                <w:p>
                  <w:pPr>
                    <w:pStyle w:val="35"/>
                    <w:bidi w:val="0"/>
                    <w:rPr>
                      <w:rFonts w:hint="default" w:ascii="Times New Roman" w:hAnsi="Times New Roman" w:cs="Times New Roman"/>
                      <w:color w:val="auto"/>
                    </w:rPr>
                  </w:pPr>
                  <w:r>
                    <w:rPr>
                      <w:rFonts w:hint="default"/>
                      <w:color w:val="auto"/>
                    </w:rPr>
                    <w:t>1m</w:t>
                  </w:r>
                </w:p>
              </w:tc>
              <w:tc>
                <w:tcPr>
                  <w:tcW w:w="713" w:type="pct"/>
                  <w:vAlign w:val="center"/>
                </w:tcPr>
                <w:p>
                  <w:pPr>
                    <w:pStyle w:val="35"/>
                    <w:bidi w:val="0"/>
                    <w:rPr>
                      <w:rFonts w:hint="default" w:ascii="Times New Roman" w:hAnsi="Times New Roman" w:cs="Times New Roman"/>
                      <w:color w:val="auto"/>
                    </w:rPr>
                  </w:pPr>
                  <w:r>
                    <w:rPr>
                      <w:rFonts w:hint="default"/>
                      <w:color w:val="auto"/>
                    </w:rPr>
                    <w:t>机械</w:t>
                  </w:r>
                </w:p>
              </w:tc>
              <w:tc>
                <w:tcPr>
                  <w:tcW w:w="735" w:type="pct"/>
                  <w:vAlign w:val="center"/>
                </w:tcPr>
                <w:p>
                  <w:pPr>
                    <w:pStyle w:val="35"/>
                    <w:bidi w:val="0"/>
                    <w:rPr>
                      <w:rFonts w:hint="default" w:ascii="Times New Roman" w:hAnsi="Times New Roman" w:cs="Times New Roman"/>
                      <w:color w:val="auto"/>
                    </w:rPr>
                  </w:pPr>
                  <w:r>
                    <w:rPr>
                      <w:rFonts w:hint="default"/>
                      <w:color w:val="auto"/>
                    </w:rPr>
                    <w:t>昼夜连续</w:t>
                  </w:r>
                </w:p>
              </w:tc>
              <w:tc>
                <w:tcPr>
                  <w:tcW w:w="683" w:type="pct"/>
                  <w:vAlign w:val="center"/>
                </w:tcPr>
                <w:p>
                  <w:pPr>
                    <w:pStyle w:val="35"/>
                    <w:bidi w:val="0"/>
                    <w:rPr>
                      <w:rFonts w:hint="default" w:ascii="Times New Roman" w:hAnsi="Times New Roman" w:cs="Times New Roman"/>
                      <w:color w:val="auto"/>
                    </w:rPr>
                  </w:pPr>
                  <w:r>
                    <w:rPr>
                      <w:rFonts w:hint="default"/>
                      <w:color w:val="auto"/>
                    </w:rPr>
                    <w:t>固定声源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485" w:type="pct"/>
                  <w:vMerge w:val="continue"/>
                  <w:vAlign w:val="center"/>
                </w:tcPr>
                <w:p>
                  <w:pPr>
                    <w:rPr>
                      <w:rFonts w:hint="default" w:ascii="Times New Roman" w:hAnsi="Times New Roman" w:cs="Times New Roman"/>
                      <w:color w:val="auto"/>
                    </w:rPr>
                  </w:pPr>
                </w:p>
              </w:tc>
              <w:tc>
                <w:tcPr>
                  <w:tcW w:w="812" w:type="pct"/>
                  <w:vAlign w:val="center"/>
                </w:tcPr>
                <w:p>
                  <w:pPr>
                    <w:pStyle w:val="35"/>
                    <w:bidi w:val="0"/>
                    <w:rPr>
                      <w:rFonts w:hint="default" w:ascii="Times New Roman" w:hAnsi="Times New Roman" w:cs="Times New Roman"/>
                      <w:color w:val="auto"/>
                    </w:rPr>
                  </w:pPr>
                  <w:r>
                    <w:rPr>
                      <w:rFonts w:hint="default"/>
                      <w:color w:val="auto"/>
                    </w:rPr>
                    <w:t>射孔车</w:t>
                  </w:r>
                </w:p>
              </w:tc>
              <w:tc>
                <w:tcPr>
                  <w:tcW w:w="391" w:type="pct"/>
                  <w:vAlign w:val="center"/>
                </w:tcPr>
                <w:p>
                  <w:pPr>
                    <w:pStyle w:val="35"/>
                    <w:bidi w:val="0"/>
                    <w:rPr>
                      <w:rFonts w:hint="default" w:ascii="Times New Roman" w:hAnsi="Times New Roman" w:cs="Times New Roman"/>
                      <w:color w:val="auto"/>
                    </w:rPr>
                  </w:pPr>
                  <w:r>
                    <w:rPr>
                      <w:rFonts w:hint="default"/>
                      <w:color w:val="auto"/>
                    </w:rPr>
                    <w:t>1</w:t>
                  </w:r>
                </w:p>
              </w:tc>
              <w:tc>
                <w:tcPr>
                  <w:tcW w:w="687" w:type="pct"/>
                  <w:vAlign w:val="center"/>
                </w:tcPr>
                <w:p>
                  <w:pPr>
                    <w:pStyle w:val="35"/>
                    <w:bidi w:val="0"/>
                    <w:rPr>
                      <w:rFonts w:hint="default" w:ascii="Times New Roman" w:hAnsi="Times New Roman" w:cs="Times New Roman"/>
                      <w:color w:val="auto"/>
                    </w:rPr>
                  </w:pPr>
                  <w:r>
                    <w:rPr>
                      <w:rFonts w:hint="default"/>
                      <w:color w:val="auto"/>
                    </w:rPr>
                    <w:t>100</w:t>
                  </w:r>
                </w:p>
              </w:tc>
              <w:tc>
                <w:tcPr>
                  <w:tcW w:w="488" w:type="pct"/>
                  <w:vAlign w:val="center"/>
                </w:tcPr>
                <w:p>
                  <w:pPr>
                    <w:pStyle w:val="35"/>
                    <w:bidi w:val="0"/>
                    <w:rPr>
                      <w:rFonts w:hint="default" w:ascii="Times New Roman" w:hAnsi="Times New Roman" w:cs="Times New Roman"/>
                      <w:color w:val="auto"/>
                    </w:rPr>
                  </w:pPr>
                  <w:r>
                    <w:rPr>
                      <w:rFonts w:hint="default"/>
                      <w:color w:val="auto"/>
                    </w:rPr>
                    <w:t>1m</w:t>
                  </w:r>
                </w:p>
              </w:tc>
              <w:tc>
                <w:tcPr>
                  <w:tcW w:w="713" w:type="pct"/>
                  <w:vAlign w:val="center"/>
                </w:tcPr>
                <w:p>
                  <w:pPr>
                    <w:pStyle w:val="35"/>
                    <w:bidi w:val="0"/>
                    <w:rPr>
                      <w:rFonts w:hint="default" w:ascii="Times New Roman" w:hAnsi="Times New Roman" w:cs="Times New Roman"/>
                      <w:color w:val="auto"/>
                    </w:rPr>
                  </w:pPr>
                  <w:r>
                    <w:rPr>
                      <w:rFonts w:hint="default"/>
                      <w:color w:val="auto"/>
                    </w:rPr>
                    <w:t>机械</w:t>
                  </w:r>
                </w:p>
              </w:tc>
              <w:tc>
                <w:tcPr>
                  <w:tcW w:w="735" w:type="pct"/>
                  <w:vAlign w:val="center"/>
                </w:tcPr>
                <w:p>
                  <w:pPr>
                    <w:pStyle w:val="35"/>
                    <w:bidi w:val="0"/>
                    <w:rPr>
                      <w:rFonts w:hint="default" w:ascii="Times New Roman" w:hAnsi="Times New Roman" w:cs="Times New Roman"/>
                      <w:color w:val="auto"/>
                    </w:rPr>
                  </w:pPr>
                  <w:r>
                    <w:rPr>
                      <w:rFonts w:hint="default"/>
                      <w:color w:val="auto"/>
                    </w:rPr>
                    <w:t>昼夜连续</w:t>
                  </w:r>
                </w:p>
              </w:tc>
              <w:tc>
                <w:tcPr>
                  <w:tcW w:w="683" w:type="pct"/>
                  <w:vAlign w:val="center"/>
                </w:tcPr>
                <w:p>
                  <w:pPr>
                    <w:pStyle w:val="35"/>
                    <w:bidi w:val="0"/>
                    <w:rPr>
                      <w:rFonts w:hint="default" w:ascii="Times New Roman" w:hAnsi="Times New Roman" w:cs="Times New Roman"/>
                      <w:color w:val="auto"/>
                    </w:rPr>
                  </w:pPr>
                  <w:r>
                    <w:rPr>
                      <w:rFonts w:hint="default"/>
                      <w:color w:val="auto"/>
                    </w:rPr>
                    <w:t>固定声源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485" w:type="pct"/>
                  <w:vMerge w:val="continue"/>
                  <w:vAlign w:val="center"/>
                </w:tcPr>
                <w:p>
                  <w:pPr>
                    <w:rPr>
                      <w:rFonts w:hint="default" w:ascii="Times New Roman" w:hAnsi="Times New Roman" w:cs="Times New Roman"/>
                      <w:color w:val="auto"/>
                    </w:rPr>
                  </w:pPr>
                </w:p>
              </w:tc>
              <w:tc>
                <w:tcPr>
                  <w:tcW w:w="812" w:type="pct"/>
                  <w:shd w:val="clear" w:color="auto" w:fill="auto"/>
                  <w:vAlign w:val="center"/>
                </w:tcPr>
                <w:p>
                  <w:pPr>
                    <w:pStyle w:val="35"/>
                    <w:bidi w:val="0"/>
                    <w:rPr>
                      <w:rFonts w:hint="default" w:ascii="Times New Roman" w:hAnsi="Times New Roman" w:eastAsia="宋体" w:cs="Times New Roman"/>
                      <w:color w:val="auto"/>
                      <w:kern w:val="0"/>
                      <w:szCs w:val="21"/>
                      <w:lang w:val="en-US" w:eastAsia="zh-CN" w:bidi="ar-SA"/>
                    </w:rPr>
                  </w:pPr>
                  <w:r>
                    <w:rPr>
                      <w:rFonts w:hint="default"/>
                      <w:color w:val="auto"/>
                    </w:rPr>
                    <w:t>柴油发电机</w:t>
                  </w:r>
                </w:p>
              </w:tc>
              <w:tc>
                <w:tcPr>
                  <w:tcW w:w="391" w:type="pct"/>
                  <w:vAlign w:val="center"/>
                </w:tcPr>
                <w:p>
                  <w:pPr>
                    <w:pStyle w:val="35"/>
                    <w:bidi w:val="0"/>
                    <w:rPr>
                      <w:rFonts w:hint="default" w:ascii="Times New Roman" w:hAnsi="Times New Roman" w:eastAsia="宋体" w:cs="Times New Roman"/>
                      <w:color w:val="auto"/>
                      <w:lang w:val="en-US" w:eastAsia="zh-CN"/>
                    </w:rPr>
                  </w:pPr>
                  <w:r>
                    <w:rPr>
                      <w:rFonts w:hint="default"/>
                      <w:color w:val="auto"/>
                      <w:lang w:val="en-US" w:eastAsia="zh-CN"/>
                    </w:rPr>
                    <w:t>1</w:t>
                  </w:r>
                </w:p>
              </w:tc>
              <w:tc>
                <w:tcPr>
                  <w:tcW w:w="687" w:type="pct"/>
                  <w:vAlign w:val="center"/>
                </w:tcPr>
                <w:p>
                  <w:pPr>
                    <w:pStyle w:val="35"/>
                    <w:bidi w:val="0"/>
                    <w:rPr>
                      <w:rFonts w:hint="default" w:ascii="Times New Roman" w:hAnsi="Times New Roman" w:eastAsia="宋体" w:cs="Times New Roman"/>
                      <w:color w:val="auto"/>
                      <w:lang w:val="en-US" w:eastAsia="zh-CN"/>
                    </w:rPr>
                  </w:pPr>
                  <w:r>
                    <w:rPr>
                      <w:rFonts w:hint="default"/>
                      <w:color w:val="auto"/>
                      <w:lang w:val="en-US" w:eastAsia="zh-CN"/>
                    </w:rPr>
                    <w:t>85</w:t>
                  </w:r>
                </w:p>
              </w:tc>
              <w:tc>
                <w:tcPr>
                  <w:tcW w:w="488" w:type="pct"/>
                  <w:vAlign w:val="center"/>
                </w:tcPr>
                <w:p>
                  <w:pPr>
                    <w:pStyle w:val="35"/>
                    <w:bidi w:val="0"/>
                    <w:rPr>
                      <w:rFonts w:hint="default" w:ascii="Times New Roman" w:hAnsi="Times New Roman" w:eastAsia="宋体" w:cs="Times New Roman"/>
                      <w:color w:val="auto"/>
                      <w:lang w:val="en-US" w:eastAsia="zh-CN"/>
                    </w:rPr>
                  </w:pPr>
                  <w:r>
                    <w:rPr>
                      <w:rFonts w:hint="default"/>
                      <w:color w:val="auto"/>
                      <w:lang w:val="en-US" w:eastAsia="zh-CN"/>
                    </w:rPr>
                    <w:t>1m</w:t>
                  </w:r>
                </w:p>
              </w:tc>
              <w:tc>
                <w:tcPr>
                  <w:tcW w:w="713" w:type="pct"/>
                  <w:shd w:val="clear" w:color="auto" w:fill="auto"/>
                  <w:vAlign w:val="center"/>
                </w:tcPr>
                <w:p>
                  <w:pPr>
                    <w:pStyle w:val="35"/>
                    <w:bidi w:val="0"/>
                    <w:rPr>
                      <w:rFonts w:hint="default" w:ascii="Times New Roman" w:hAnsi="Times New Roman" w:eastAsia="宋体" w:cs="Times New Roman"/>
                      <w:color w:val="auto"/>
                      <w:kern w:val="0"/>
                      <w:szCs w:val="21"/>
                      <w:lang w:val="en-US" w:eastAsia="zh-CN" w:bidi="ar-SA"/>
                    </w:rPr>
                  </w:pPr>
                  <w:r>
                    <w:rPr>
                      <w:rFonts w:hint="default"/>
                      <w:color w:val="auto"/>
                    </w:rPr>
                    <w:t>机械</w:t>
                  </w:r>
                </w:p>
              </w:tc>
              <w:tc>
                <w:tcPr>
                  <w:tcW w:w="735" w:type="pct"/>
                  <w:shd w:val="clear" w:color="auto" w:fill="auto"/>
                  <w:vAlign w:val="center"/>
                </w:tcPr>
                <w:p>
                  <w:pPr>
                    <w:pStyle w:val="35"/>
                    <w:bidi w:val="0"/>
                    <w:rPr>
                      <w:rFonts w:hint="default" w:ascii="Times New Roman" w:hAnsi="Times New Roman" w:eastAsia="宋体" w:cs="Times New Roman"/>
                      <w:color w:val="auto"/>
                      <w:kern w:val="0"/>
                      <w:szCs w:val="21"/>
                      <w:lang w:val="en-US" w:eastAsia="zh-CN" w:bidi="ar-SA"/>
                    </w:rPr>
                  </w:pPr>
                  <w:r>
                    <w:rPr>
                      <w:rFonts w:hint="default"/>
                      <w:color w:val="auto"/>
                    </w:rPr>
                    <w:t>昼夜连续</w:t>
                  </w:r>
                </w:p>
              </w:tc>
              <w:tc>
                <w:tcPr>
                  <w:tcW w:w="683" w:type="pct"/>
                  <w:shd w:val="clear" w:color="auto" w:fill="auto"/>
                  <w:vAlign w:val="center"/>
                </w:tcPr>
                <w:p>
                  <w:pPr>
                    <w:pStyle w:val="35"/>
                    <w:bidi w:val="0"/>
                    <w:rPr>
                      <w:rFonts w:hint="default" w:ascii="Times New Roman" w:hAnsi="Times New Roman" w:eastAsia="宋体" w:cs="Times New Roman"/>
                      <w:color w:val="auto"/>
                      <w:kern w:val="0"/>
                      <w:szCs w:val="21"/>
                      <w:lang w:val="en-US" w:eastAsia="zh-CN" w:bidi="ar-SA"/>
                    </w:rPr>
                  </w:pPr>
                  <w:r>
                    <w:rPr>
                      <w:rFonts w:hint="default"/>
                      <w:color w:val="auto"/>
                    </w:rPr>
                    <w:t>固定声源</w:t>
                  </w:r>
                </w:p>
              </w:tc>
            </w:tr>
          </w:tbl>
          <w:p>
            <w:pPr>
              <w:pStyle w:val="10"/>
              <w:bidi w:val="0"/>
              <w:rPr>
                <w:rFonts w:hint="default"/>
                <w:color w:val="auto"/>
              </w:rPr>
            </w:pPr>
            <w:r>
              <w:rPr>
                <w:rFonts w:hint="default"/>
                <w:color w:val="auto"/>
              </w:rPr>
              <w:t>施工过程不同类型施工机械在不同距离处的噪声预测值见</w:t>
            </w:r>
            <w:r>
              <w:rPr>
                <w:rFonts w:hint="eastAsia"/>
                <w:color w:val="auto"/>
                <w:lang w:val="en-US" w:eastAsia="zh-CN"/>
              </w:rPr>
              <w:t>下表</w:t>
            </w:r>
            <w:r>
              <w:rPr>
                <w:rFonts w:hint="default"/>
                <w:color w:val="auto"/>
              </w:rPr>
              <w:t>。</w:t>
            </w:r>
          </w:p>
          <w:p>
            <w:pPr>
              <w:pStyle w:val="10"/>
              <w:ind w:firstLine="420"/>
              <w:jc w:val="center"/>
              <w:rPr>
                <w:rFonts w:hint="default" w:ascii="Times New Roman" w:hAnsi="Times New Roman" w:eastAsia="黑体" w:cs="Times New Roman"/>
                <w:b w:val="0"/>
                <w:bCs w:val="0"/>
                <w:color w:val="auto"/>
                <w:sz w:val="21"/>
                <w:szCs w:val="21"/>
              </w:rPr>
            </w:pPr>
            <w:r>
              <w:rPr>
                <w:rFonts w:hint="default" w:ascii="Times New Roman" w:hAnsi="Times New Roman" w:eastAsia="黑体" w:cs="Times New Roman"/>
                <w:b w:val="0"/>
                <w:bCs w:val="0"/>
                <w:color w:val="auto"/>
                <w:sz w:val="21"/>
                <w:szCs w:val="21"/>
              </w:rPr>
              <w:t>表</w:t>
            </w:r>
            <w:r>
              <w:rPr>
                <w:rFonts w:hint="default" w:ascii="Times New Roman" w:hAnsi="Times New Roman" w:eastAsia="黑体" w:cs="Times New Roman"/>
                <w:b w:val="0"/>
                <w:bCs w:val="0"/>
                <w:color w:val="auto"/>
                <w:sz w:val="21"/>
                <w:szCs w:val="21"/>
                <w:lang w:val="en-US" w:eastAsia="zh-CN"/>
              </w:rPr>
              <w:t>4-3</w:t>
            </w:r>
            <w:r>
              <w:rPr>
                <w:rFonts w:hint="default" w:ascii="Times New Roman" w:hAnsi="Times New Roman" w:eastAsia="黑体" w:cs="Times New Roman"/>
                <w:b w:val="0"/>
                <w:bCs w:val="0"/>
                <w:color w:val="auto"/>
                <w:sz w:val="21"/>
                <w:szCs w:val="21"/>
              </w:rPr>
              <w:t xml:space="preserve">  各种施工机械在不同距离的噪声预测值    单位：dB（A）</w:t>
            </w:r>
          </w:p>
          <w:tbl>
            <w:tblPr>
              <w:tblStyle w:val="27"/>
              <w:tblW w:w="499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770"/>
              <w:gridCol w:w="430"/>
              <w:gridCol w:w="637"/>
              <w:gridCol w:w="390"/>
              <w:gridCol w:w="391"/>
              <w:gridCol w:w="391"/>
              <w:gridCol w:w="391"/>
              <w:gridCol w:w="391"/>
              <w:gridCol w:w="391"/>
              <w:gridCol w:w="391"/>
              <w:gridCol w:w="391"/>
              <w:gridCol w:w="391"/>
              <w:gridCol w:w="391"/>
              <w:gridCol w:w="391"/>
              <w:gridCol w:w="391"/>
              <w:gridCol w:w="391"/>
              <w:gridCol w:w="391"/>
              <w:gridCol w:w="39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99" w:type="pct"/>
                  <w:vAlign w:val="center"/>
                </w:tcPr>
                <w:p>
                  <w:pPr>
                    <w:pStyle w:val="35"/>
                    <w:bidi w:val="0"/>
                    <w:rPr>
                      <w:rFonts w:hint="default" w:ascii="Times New Roman" w:hAnsi="Times New Roman" w:cs="Times New Roman"/>
                      <w:color w:val="auto"/>
                      <w:szCs w:val="18"/>
                    </w:rPr>
                  </w:pPr>
                  <w:r>
                    <w:rPr>
                      <w:rFonts w:hint="default"/>
                      <w:color w:val="auto"/>
                    </w:rPr>
                    <w:t>距离（m）</w:t>
                  </w:r>
                </w:p>
              </w:tc>
              <w:tc>
                <w:tcPr>
                  <w:tcW w:w="279" w:type="pct"/>
                  <w:vAlign w:val="center"/>
                </w:tcPr>
                <w:p>
                  <w:pPr>
                    <w:pStyle w:val="35"/>
                    <w:bidi w:val="0"/>
                    <w:rPr>
                      <w:rFonts w:hint="default" w:ascii="Times New Roman" w:hAnsi="Times New Roman" w:cs="Times New Roman"/>
                      <w:color w:val="auto"/>
                      <w:szCs w:val="18"/>
                    </w:rPr>
                  </w:pPr>
                  <w:r>
                    <w:rPr>
                      <w:rFonts w:hint="default"/>
                      <w:color w:val="auto"/>
                    </w:rPr>
                    <w:t>源强</w:t>
                  </w:r>
                </w:p>
              </w:tc>
              <w:tc>
                <w:tcPr>
                  <w:tcW w:w="413" w:type="pct"/>
                  <w:vAlign w:val="center"/>
                </w:tcPr>
                <w:p>
                  <w:pPr>
                    <w:pStyle w:val="35"/>
                    <w:bidi w:val="0"/>
                    <w:rPr>
                      <w:rFonts w:hint="default" w:ascii="Times New Roman" w:hAnsi="Times New Roman" w:cs="Times New Roman"/>
                      <w:color w:val="auto"/>
                      <w:szCs w:val="18"/>
                    </w:rPr>
                  </w:pPr>
                  <w:r>
                    <w:rPr>
                      <w:rFonts w:hint="default"/>
                      <w:color w:val="auto"/>
                    </w:rPr>
                    <w:t>基础减振后</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5</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10</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15</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20</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25</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30</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40</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50</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60</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80</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100</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120</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140</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160</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200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99" w:type="pct"/>
                  <w:vAlign w:val="center"/>
                </w:tcPr>
                <w:p>
                  <w:pPr>
                    <w:pStyle w:val="35"/>
                    <w:bidi w:val="0"/>
                    <w:rPr>
                      <w:rFonts w:hint="default" w:ascii="Times New Roman" w:hAnsi="Times New Roman" w:cs="Times New Roman"/>
                      <w:color w:val="auto"/>
                      <w:szCs w:val="18"/>
                    </w:rPr>
                  </w:pPr>
                  <w:r>
                    <w:rPr>
                      <w:rFonts w:hint="default"/>
                      <w:color w:val="auto"/>
                    </w:rPr>
                    <w:t>钻机</w:t>
                  </w:r>
                </w:p>
              </w:tc>
              <w:tc>
                <w:tcPr>
                  <w:tcW w:w="279" w:type="pct"/>
                  <w:vAlign w:val="center"/>
                </w:tcPr>
                <w:p>
                  <w:pPr>
                    <w:pStyle w:val="35"/>
                    <w:bidi w:val="0"/>
                    <w:rPr>
                      <w:rFonts w:hint="default" w:ascii="Times New Roman" w:hAnsi="Times New Roman" w:cs="Times New Roman"/>
                      <w:color w:val="auto"/>
                      <w:szCs w:val="18"/>
                    </w:rPr>
                  </w:pPr>
                  <w:r>
                    <w:rPr>
                      <w:rFonts w:hint="default"/>
                      <w:color w:val="auto"/>
                    </w:rPr>
                    <w:t>90</w:t>
                  </w:r>
                </w:p>
              </w:tc>
              <w:tc>
                <w:tcPr>
                  <w:tcW w:w="413" w:type="pct"/>
                  <w:vAlign w:val="center"/>
                </w:tcPr>
                <w:p>
                  <w:pPr>
                    <w:pStyle w:val="35"/>
                    <w:bidi w:val="0"/>
                    <w:rPr>
                      <w:rFonts w:hint="default" w:ascii="Times New Roman" w:hAnsi="Times New Roman" w:cs="Times New Roman"/>
                      <w:color w:val="auto"/>
                      <w:szCs w:val="18"/>
                    </w:rPr>
                  </w:pPr>
                  <w:r>
                    <w:rPr>
                      <w:rFonts w:hint="default"/>
                      <w:color w:val="auto"/>
                    </w:rPr>
                    <w:t>80</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66</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60</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56</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54</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52</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50</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48</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46</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44</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42</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40</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38</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37</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36</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34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99" w:type="pct"/>
                  <w:vAlign w:val="center"/>
                </w:tcPr>
                <w:p>
                  <w:pPr>
                    <w:pStyle w:val="35"/>
                    <w:bidi w:val="0"/>
                    <w:rPr>
                      <w:rFonts w:hint="default" w:ascii="Times New Roman" w:hAnsi="Times New Roman" w:cs="Times New Roman"/>
                      <w:color w:val="auto"/>
                      <w:szCs w:val="18"/>
                    </w:rPr>
                  </w:pPr>
                  <w:r>
                    <w:rPr>
                      <w:rFonts w:hint="default"/>
                      <w:color w:val="auto"/>
                    </w:rPr>
                    <w:t>泥浆泵</w:t>
                  </w:r>
                </w:p>
              </w:tc>
              <w:tc>
                <w:tcPr>
                  <w:tcW w:w="279" w:type="pct"/>
                  <w:vAlign w:val="center"/>
                </w:tcPr>
                <w:p>
                  <w:pPr>
                    <w:pStyle w:val="35"/>
                    <w:bidi w:val="0"/>
                    <w:rPr>
                      <w:rFonts w:hint="default" w:ascii="Times New Roman" w:hAnsi="Times New Roman" w:cs="Times New Roman"/>
                      <w:color w:val="auto"/>
                      <w:szCs w:val="18"/>
                    </w:rPr>
                  </w:pPr>
                  <w:r>
                    <w:rPr>
                      <w:rFonts w:hint="default"/>
                      <w:color w:val="auto"/>
                    </w:rPr>
                    <w:t>93</w:t>
                  </w:r>
                </w:p>
              </w:tc>
              <w:tc>
                <w:tcPr>
                  <w:tcW w:w="41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rPr>
                    <w:t>8</w:t>
                  </w:r>
                  <w:r>
                    <w:rPr>
                      <w:rFonts w:hint="default"/>
                      <w:color w:val="auto"/>
                      <w:lang w:val="en-US" w:eastAsia="zh-CN"/>
                    </w:rPr>
                    <w:t>3</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79</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73</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69</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67</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65</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63</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61</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59</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57</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55</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53</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51</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50</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49</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47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99" w:type="pct"/>
                  <w:vAlign w:val="center"/>
                </w:tcPr>
                <w:p>
                  <w:pPr>
                    <w:pStyle w:val="35"/>
                    <w:bidi w:val="0"/>
                    <w:rPr>
                      <w:rFonts w:hint="default" w:ascii="Times New Roman" w:hAnsi="Times New Roman" w:cs="Times New Roman"/>
                      <w:color w:val="auto"/>
                      <w:szCs w:val="18"/>
                    </w:rPr>
                  </w:pPr>
                  <w:r>
                    <w:rPr>
                      <w:rFonts w:hint="default"/>
                      <w:color w:val="auto"/>
                    </w:rPr>
                    <w:t>振动筛</w:t>
                  </w:r>
                </w:p>
              </w:tc>
              <w:tc>
                <w:tcPr>
                  <w:tcW w:w="279" w:type="pct"/>
                  <w:vAlign w:val="center"/>
                </w:tcPr>
                <w:p>
                  <w:pPr>
                    <w:pStyle w:val="35"/>
                    <w:bidi w:val="0"/>
                    <w:rPr>
                      <w:rFonts w:hint="default" w:ascii="Times New Roman" w:hAnsi="Times New Roman" w:cs="Times New Roman"/>
                      <w:color w:val="auto"/>
                      <w:szCs w:val="18"/>
                    </w:rPr>
                  </w:pPr>
                  <w:r>
                    <w:rPr>
                      <w:rFonts w:hint="default"/>
                      <w:color w:val="auto"/>
                    </w:rPr>
                    <w:t>105</w:t>
                  </w:r>
                </w:p>
              </w:tc>
              <w:tc>
                <w:tcPr>
                  <w:tcW w:w="413" w:type="pct"/>
                  <w:vAlign w:val="center"/>
                </w:tcPr>
                <w:p>
                  <w:pPr>
                    <w:pStyle w:val="35"/>
                    <w:bidi w:val="0"/>
                    <w:rPr>
                      <w:rFonts w:hint="default" w:ascii="Times New Roman" w:hAnsi="Times New Roman" w:cs="Times New Roman"/>
                      <w:color w:val="auto"/>
                      <w:szCs w:val="18"/>
                    </w:rPr>
                  </w:pPr>
                  <w:r>
                    <w:rPr>
                      <w:rFonts w:hint="default"/>
                      <w:color w:val="auto"/>
                    </w:rPr>
                    <w:t>95</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81</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75</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71</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69</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67</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65</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63</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61</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59</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57</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55</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53</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52</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51</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49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99" w:type="pct"/>
                  <w:vAlign w:val="center"/>
                </w:tcPr>
                <w:p>
                  <w:pPr>
                    <w:pStyle w:val="35"/>
                    <w:bidi w:val="0"/>
                    <w:rPr>
                      <w:rFonts w:hint="default" w:ascii="Times New Roman" w:hAnsi="Times New Roman" w:cs="Times New Roman"/>
                      <w:color w:val="auto"/>
                      <w:szCs w:val="18"/>
                    </w:rPr>
                  </w:pPr>
                  <w:r>
                    <w:rPr>
                      <w:rFonts w:hint="default"/>
                      <w:color w:val="auto"/>
                    </w:rPr>
                    <w:t>柴油发电机</w:t>
                  </w:r>
                </w:p>
              </w:tc>
              <w:tc>
                <w:tcPr>
                  <w:tcW w:w="279" w:type="pct"/>
                  <w:vAlign w:val="center"/>
                </w:tcPr>
                <w:p>
                  <w:pPr>
                    <w:pStyle w:val="35"/>
                    <w:bidi w:val="0"/>
                    <w:rPr>
                      <w:rFonts w:hint="default" w:ascii="Times New Roman" w:hAnsi="Times New Roman" w:cs="Times New Roman"/>
                      <w:color w:val="auto"/>
                      <w:szCs w:val="18"/>
                    </w:rPr>
                  </w:pPr>
                  <w:r>
                    <w:rPr>
                      <w:rFonts w:hint="default"/>
                      <w:color w:val="auto"/>
                    </w:rPr>
                    <w:t>88</w:t>
                  </w:r>
                </w:p>
              </w:tc>
              <w:tc>
                <w:tcPr>
                  <w:tcW w:w="413" w:type="pct"/>
                  <w:vAlign w:val="center"/>
                </w:tcPr>
                <w:p>
                  <w:pPr>
                    <w:pStyle w:val="35"/>
                    <w:bidi w:val="0"/>
                    <w:rPr>
                      <w:rFonts w:hint="default" w:ascii="Times New Roman" w:hAnsi="Times New Roman" w:cs="Times New Roman"/>
                      <w:color w:val="auto"/>
                      <w:szCs w:val="18"/>
                    </w:rPr>
                  </w:pPr>
                  <w:r>
                    <w:rPr>
                      <w:rFonts w:hint="default"/>
                      <w:color w:val="auto"/>
                      <w:lang w:val="en-US" w:eastAsia="zh-CN"/>
                    </w:rPr>
                    <w:t>7</w:t>
                  </w:r>
                  <w:r>
                    <w:rPr>
                      <w:rFonts w:hint="default"/>
                      <w:color w:val="auto"/>
                    </w:rPr>
                    <w:t>8</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64</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58</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54</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52</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50</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48</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46</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44</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42</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40</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38</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36</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35</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34</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32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99" w:type="pct"/>
                  <w:vAlign w:val="center"/>
                </w:tcPr>
                <w:p>
                  <w:pPr>
                    <w:pStyle w:val="35"/>
                    <w:bidi w:val="0"/>
                    <w:rPr>
                      <w:rFonts w:hint="default" w:ascii="Times New Roman" w:hAnsi="Times New Roman" w:cs="Times New Roman"/>
                      <w:color w:val="auto"/>
                      <w:szCs w:val="18"/>
                    </w:rPr>
                  </w:pPr>
                  <w:r>
                    <w:rPr>
                      <w:rFonts w:hint="default"/>
                      <w:color w:val="auto"/>
                    </w:rPr>
                    <w:t>柴油机</w:t>
                  </w:r>
                </w:p>
              </w:tc>
              <w:tc>
                <w:tcPr>
                  <w:tcW w:w="279" w:type="pct"/>
                  <w:vAlign w:val="center"/>
                </w:tcPr>
                <w:p>
                  <w:pPr>
                    <w:pStyle w:val="35"/>
                    <w:bidi w:val="0"/>
                    <w:rPr>
                      <w:rFonts w:hint="default" w:ascii="Times New Roman" w:hAnsi="Times New Roman" w:cs="Times New Roman"/>
                      <w:color w:val="auto"/>
                      <w:szCs w:val="18"/>
                    </w:rPr>
                  </w:pPr>
                  <w:r>
                    <w:rPr>
                      <w:rFonts w:hint="default"/>
                      <w:color w:val="auto"/>
                    </w:rPr>
                    <w:t>101</w:t>
                  </w:r>
                </w:p>
              </w:tc>
              <w:tc>
                <w:tcPr>
                  <w:tcW w:w="413" w:type="pct"/>
                  <w:vAlign w:val="center"/>
                </w:tcPr>
                <w:p>
                  <w:pPr>
                    <w:pStyle w:val="35"/>
                    <w:bidi w:val="0"/>
                    <w:rPr>
                      <w:rFonts w:hint="default" w:ascii="Times New Roman" w:hAnsi="Times New Roman" w:cs="Times New Roman"/>
                      <w:color w:val="auto"/>
                      <w:szCs w:val="18"/>
                    </w:rPr>
                  </w:pPr>
                  <w:r>
                    <w:rPr>
                      <w:rFonts w:hint="default"/>
                      <w:color w:val="auto"/>
                      <w:lang w:val="en-US" w:eastAsia="zh-CN"/>
                    </w:rPr>
                    <w:t>9</w:t>
                  </w:r>
                  <w:r>
                    <w:rPr>
                      <w:rFonts w:hint="default"/>
                      <w:color w:val="auto"/>
                    </w:rPr>
                    <w:t>1</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77</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71</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67</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65</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63</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61</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59</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57</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55</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53</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51</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49</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48</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47</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45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99" w:type="pct"/>
                  <w:vAlign w:val="center"/>
                </w:tcPr>
                <w:p>
                  <w:pPr>
                    <w:pStyle w:val="35"/>
                    <w:bidi w:val="0"/>
                    <w:rPr>
                      <w:rFonts w:hint="default" w:ascii="Times New Roman" w:hAnsi="Times New Roman" w:cs="Times New Roman"/>
                      <w:color w:val="auto"/>
                      <w:szCs w:val="18"/>
                    </w:rPr>
                  </w:pPr>
                  <w:r>
                    <w:rPr>
                      <w:rFonts w:hint="default"/>
                      <w:color w:val="auto"/>
                    </w:rPr>
                    <w:t>压裂车</w:t>
                  </w:r>
                </w:p>
              </w:tc>
              <w:tc>
                <w:tcPr>
                  <w:tcW w:w="279" w:type="pct"/>
                  <w:vAlign w:val="center"/>
                </w:tcPr>
                <w:p>
                  <w:pPr>
                    <w:pStyle w:val="35"/>
                    <w:bidi w:val="0"/>
                    <w:rPr>
                      <w:rFonts w:hint="default" w:ascii="Times New Roman" w:hAnsi="Times New Roman" w:cs="Times New Roman"/>
                      <w:color w:val="auto"/>
                      <w:szCs w:val="18"/>
                    </w:rPr>
                  </w:pPr>
                  <w:r>
                    <w:rPr>
                      <w:rFonts w:hint="default"/>
                      <w:color w:val="auto"/>
                    </w:rPr>
                    <w:t>109</w:t>
                  </w:r>
                </w:p>
              </w:tc>
              <w:tc>
                <w:tcPr>
                  <w:tcW w:w="413" w:type="pct"/>
                  <w:vAlign w:val="center"/>
                </w:tcPr>
                <w:p>
                  <w:pPr>
                    <w:pStyle w:val="35"/>
                    <w:bidi w:val="0"/>
                    <w:rPr>
                      <w:rFonts w:hint="default" w:ascii="Times New Roman" w:hAnsi="Times New Roman" w:cs="Times New Roman"/>
                      <w:color w:val="auto"/>
                      <w:szCs w:val="18"/>
                    </w:rPr>
                  </w:pPr>
                  <w:r>
                    <w:rPr>
                      <w:rFonts w:hint="default"/>
                      <w:color w:val="auto"/>
                    </w:rPr>
                    <w:t>99</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85</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79</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75</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73</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71</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69</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67</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65</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63</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61</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59</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57</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56</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55</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53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99" w:type="pct"/>
                  <w:vAlign w:val="center"/>
                </w:tcPr>
                <w:p>
                  <w:pPr>
                    <w:pStyle w:val="35"/>
                    <w:bidi w:val="0"/>
                    <w:rPr>
                      <w:rFonts w:hint="default" w:ascii="Times New Roman" w:hAnsi="Times New Roman" w:cs="Times New Roman"/>
                      <w:color w:val="auto"/>
                      <w:szCs w:val="18"/>
                    </w:rPr>
                  </w:pPr>
                  <w:r>
                    <w:rPr>
                      <w:rFonts w:hint="default"/>
                      <w:color w:val="auto"/>
                    </w:rPr>
                    <w:t>射孔车</w:t>
                  </w:r>
                </w:p>
              </w:tc>
              <w:tc>
                <w:tcPr>
                  <w:tcW w:w="279" w:type="pct"/>
                  <w:vAlign w:val="center"/>
                </w:tcPr>
                <w:p>
                  <w:pPr>
                    <w:pStyle w:val="35"/>
                    <w:bidi w:val="0"/>
                    <w:rPr>
                      <w:rFonts w:hint="default" w:ascii="Times New Roman" w:hAnsi="Times New Roman" w:cs="Times New Roman"/>
                      <w:color w:val="auto"/>
                      <w:szCs w:val="18"/>
                    </w:rPr>
                  </w:pPr>
                  <w:r>
                    <w:rPr>
                      <w:rFonts w:hint="default"/>
                      <w:color w:val="auto"/>
                    </w:rPr>
                    <w:t>100</w:t>
                  </w:r>
                </w:p>
              </w:tc>
              <w:tc>
                <w:tcPr>
                  <w:tcW w:w="413" w:type="pct"/>
                  <w:vAlign w:val="center"/>
                </w:tcPr>
                <w:p>
                  <w:pPr>
                    <w:pStyle w:val="35"/>
                    <w:bidi w:val="0"/>
                    <w:rPr>
                      <w:rFonts w:hint="default" w:ascii="Times New Roman" w:hAnsi="Times New Roman" w:cs="Times New Roman"/>
                      <w:color w:val="auto"/>
                      <w:szCs w:val="18"/>
                    </w:rPr>
                  </w:pPr>
                  <w:r>
                    <w:rPr>
                      <w:rFonts w:hint="default"/>
                      <w:color w:val="auto"/>
                    </w:rPr>
                    <w:t>90</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76</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70</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66</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64</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62</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60</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58</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56</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54</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52</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50</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48</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47</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46</w:t>
                  </w:r>
                </w:p>
              </w:tc>
              <w:tc>
                <w:tcPr>
                  <w:tcW w:w="253" w:type="pct"/>
                  <w:vAlign w:val="center"/>
                </w:tcPr>
                <w:p>
                  <w:pPr>
                    <w:pStyle w:val="35"/>
                    <w:bidi w:val="0"/>
                    <w:rPr>
                      <w:rFonts w:hint="default" w:ascii="Times New Roman" w:hAnsi="Times New Roman" w:cs="Times New Roman"/>
                      <w:color w:val="auto"/>
                      <w:szCs w:val="18"/>
                    </w:rPr>
                  </w:pPr>
                  <w:r>
                    <w:rPr>
                      <w:rFonts w:hint="default"/>
                      <w:color w:val="auto"/>
                    </w:rPr>
                    <w:t>44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99" w:type="pct"/>
                  <w:shd w:val="clear" w:color="auto" w:fill="auto"/>
                  <w:vAlign w:val="center"/>
                </w:tcPr>
                <w:p>
                  <w:pPr>
                    <w:pStyle w:val="35"/>
                    <w:bidi w:val="0"/>
                    <w:rPr>
                      <w:rFonts w:hint="default" w:ascii="Times New Roman" w:hAnsi="Times New Roman" w:eastAsia="宋体" w:cs="Times New Roman"/>
                      <w:color w:val="auto"/>
                      <w:kern w:val="0"/>
                      <w:szCs w:val="18"/>
                      <w:lang w:val="en-US" w:eastAsia="zh-CN" w:bidi="ar-SA"/>
                    </w:rPr>
                  </w:pPr>
                  <w:r>
                    <w:rPr>
                      <w:rFonts w:hint="default"/>
                      <w:color w:val="auto"/>
                    </w:rPr>
                    <w:t>柴油发电机</w:t>
                  </w:r>
                </w:p>
              </w:tc>
              <w:tc>
                <w:tcPr>
                  <w:tcW w:w="279"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85</w:t>
                  </w:r>
                </w:p>
              </w:tc>
              <w:tc>
                <w:tcPr>
                  <w:tcW w:w="41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75</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61</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55</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51</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49</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47</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45</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43</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41</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39</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37</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35</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33</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32</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31</w:t>
                  </w:r>
                </w:p>
              </w:tc>
              <w:tc>
                <w:tcPr>
                  <w:tcW w:w="253" w:type="pct"/>
                  <w:vAlign w:val="center"/>
                </w:tcPr>
                <w:p>
                  <w:pPr>
                    <w:pStyle w:val="35"/>
                    <w:bidi w:val="0"/>
                    <w:rPr>
                      <w:rFonts w:hint="default" w:ascii="Times New Roman" w:hAnsi="Times New Roman" w:eastAsia="宋体" w:cs="Times New Roman"/>
                      <w:color w:val="auto"/>
                      <w:szCs w:val="18"/>
                      <w:lang w:val="en-US" w:eastAsia="zh-CN"/>
                    </w:rPr>
                  </w:pPr>
                  <w:r>
                    <w:rPr>
                      <w:rFonts w:hint="default"/>
                      <w:color w:val="auto"/>
                      <w:lang w:val="en-US" w:eastAsia="zh-CN"/>
                    </w:rPr>
                    <w:t>29</w:t>
                  </w:r>
                </w:p>
              </w:tc>
            </w:tr>
          </w:tbl>
          <w:p>
            <w:pPr>
              <w:pStyle w:val="10"/>
              <w:ind w:firstLine="480"/>
              <w:rPr>
                <w:rFonts w:hint="default" w:ascii="Times New Roman" w:hAnsi="Times New Roman" w:cs="Times New Roman"/>
                <w:b w:val="0"/>
                <w:bCs w:val="0"/>
                <w:color w:val="auto"/>
              </w:rPr>
            </w:pPr>
            <w:r>
              <w:rPr>
                <w:rFonts w:hint="default" w:ascii="Times New Roman" w:hAnsi="Times New Roman" w:cs="Times New Roman"/>
                <w:b w:val="0"/>
                <w:bCs w:val="0"/>
                <w:color w:val="auto"/>
              </w:rPr>
              <w:t>根据预测结果，施工期间，各类施工机械的噪声在距离声源160m处时噪声均可满足《建筑施工场界环境噪声排放标准》（GB12523-2011）标准要求</w:t>
            </w:r>
            <w:r>
              <w:rPr>
                <w:rFonts w:hint="eastAsia" w:ascii="Times New Roman" w:hAnsi="Times New Roman" w:cs="Times New Roman"/>
                <w:b w:val="0"/>
                <w:bCs w:val="0"/>
                <w:color w:val="auto"/>
                <w:lang w:eastAsia="zh-CN"/>
              </w:rPr>
              <w:t>，</w:t>
            </w:r>
            <w:r>
              <w:rPr>
                <w:rFonts w:hint="eastAsia" w:ascii="Times New Roman" w:hAnsi="Times New Roman" w:cs="Times New Roman"/>
                <w:b w:val="0"/>
                <w:bCs w:val="0"/>
                <w:color w:val="auto"/>
                <w:lang w:val="en-US" w:eastAsia="zh-CN"/>
              </w:rPr>
              <w:t>即：</w:t>
            </w:r>
            <w:r>
              <w:rPr>
                <w:rFonts w:hint="default" w:ascii="Times New Roman" w:hAnsi="Times New Roman" w:cs="Times New Roman"/>
                <w:b w:val="0"/>
                <w:bCs w:val="0"/>
                <w:color w:val="auto"/>
              </w:rPr>
              <w:t>昼间70dB（A），夜间55dB（A）。</w:t>
            </w:r>
          </w:p>
          <w:p>
            <w:pPr>
              <w:pStyle w:val="10"/>
              <w:ind w:firstLine="480"/>
              <w:rPr>
                <w:rFonts w:hint="default" w:ascii="Times New Roman" w:hAnsi="Times New Roman" w:cs="Times New Roman"/>
                <w:b w:val="0"/>
                <w:bCs w:val="0"/>
                <w:color w:val="auto"/>
              </w:rPr>
            </w:pPr>
            <w:r>
              <w:rPr>
                <w:rFonts w:hint="eastAsia" w:ascii="Times New Roman" w:hAnsi="Times New Roman" w:cs="Times New Roman"/>
                <w:b w:val="0"/>
                <w:bCs w:val="0"/>
                <w:color w:val="auto"/>
                <w:lang w:val="en-US" w:eastAsia="zh-CN"/>
              </w:rPr>
              <w:t>本项目施工过程</w:t>
            </w:r>
            <w:r>
              <w:rPr>
                <w:rFonts w:hint="default" w:ascii="Times New Roman" w:hAnsi="Times New Roman" w:cs="Times New Roman"/>
                <w:b w:val="0"/>
                <w:bCs w:val="0"/>
                <w:color w:val="auto"/>
              </w:rPr>
              <w:t>对高噪声设备采取隔声措施，并加强机械设备的保养，保证机械设备的正常运转，以降低设备正常运转的噪声。进一步落实以上措施后，施工期噪声对周边环境及施工人员的影响将进一步减少，施工期产生噪声对周边环境影响不大。</w:t>
            </w:r>
            <w:bookmarkEnd w:id="89"/>
            <w:r>
              <w:rPr>
                <w:rFonts w:hint="eastAsia" w:ascii="Times New Roman" w:hAnsi="Times New Roman" w:cs="Times New Roman"/>
                <w:b w:val="0"/>
                <w:bCs w:val="0"/>
                <w:color w:val="auto"/>
                <w:lang w:val="en-US" w:eastAsia="zh-CN"/>
              </w:rPr>
              <w:t>本</w:t>
            </w:r>
            <w:r>
              <w:rPr>
                <w:rFonts w:hint="default" w:ascii="Times New Roman" w:hAnsi="Times New Roman" w:cs="Times New Roman"/>
                <w:b w:val="0"/>
                <w:bCs w:val="0"/>
                <w:color w:val="auto"/>
              </w:rPr>
              <w:t>项目区周边200m范围内无声环境敏感目标，不会对周围声环境产生明显影响。</w:t>
            </w:r>
          </w:p>
          <w:p>
            <w:pPr>
              <w:pStyle w:val="54"/>
              <w:numPr>
                <w:ilvl w:val="0"/>
                <w:numId w:val="9"/>
              </w:numPr>
              <w:bidi w:val="0"/>
              <w:ind w:left="9" w:leftChars="0" w:firstLineChars="0"/>
              <w:rPr>
                <w:rFonts w:hint="default"/>
                <w:color w:val="auto"/>
              </w:rPr>
            </w:pPr>
            <w:r>
              <w:rPr>
                <w:rFonts w:hint="default"/>
                <w:color w:val="auto"/>
              </w:rPr>
              <w:t>固体废物影响分析</w:t>
            </w:r>
          </w:p>
          <w:p>
            <w:pPr>
              <w:pStyle w:val="10"/>
              <w:ind w:firstLine="480"/>
              <w:rPr>
                <w:rFonts w:hint="default" w:ascii="Times New Roman" w:hAnsi="Times New Roman" w:cs="Times New Roman"/>
                <w:b w:val="0"/>
                <w:bCs w:val="0"/>
                <w:color w:val="auto"/>
              </w:rPr>
            </w:pPr>
            <w:r>
              <w:rPr>
                <w:rFonts w:hint="default" w:ascii="Times New Roman" w:hAnsi="Times New Roman" w:cs="Times New Roman"/>
                <w:b w:val="0"/>
                <w:bCs w:val="0"/>
                <w:color w:val="auto"/>
              </w:rPr>
              <w:t>井场</w:t>
            </w:r>
            <w:r>
              <w:rPr>
                <w:rFonts w:hint="eastAsia" w:ascii="Times New Roman" w:hAnsi="Times New Roman" w:cs="Times New Roman"/>
                <w:b w:val="0"/>
                <w:bCs w:val="0"/>
                <w:color w:val="auto"/>
                <w:lang w:eastAsia="zh-CN"/>
              </w:rPr>
              <w:t>、</w:t>
            </w:r>
            <w:r>
              <w:rPr>
                <w:rFonts w:hint="eastAsia" w:ascii="Times New Roman" w:hAnsi="Times New Roman" w:cs="Times New Roman"/>
                <w:b w:val="0"/>
                <w:bCs w:val="0"/>
                <w:color w:val="auto"/>
                <w:lang w:val="en-US" w:eastAsia="zh-CN"/>
              </w:rPr>
              <w:t>生活营地</w:t>
            </w:r>
            <w:r>
              <w:rPr>
                <w:rFonts w:hint="default" w:ascii="Times New Roman" w:hAnsi="Times New Roman" w:cs="Times New Roman"/>
                <w:b w:val="0"/>
                <w:bCs w:val="0"/>
                <w:color w:val="auto"/>
              </w:rPr>
              <w:t>和</w:t>
            </w:r>
            <w:r>
              <w:rPr>
                <w:rFonts w:hint="eastAsia" w:ascii="Times New Roman" w:hAnsi="Times New Roman" w:cs="Times New Roman"/>
                <w:b w:val="0"/>
                <w:bCs w:val="0"/>
                <w:color w:val="auto"/>
                <w:lang w:eastAsia="zh-CN"/>
              </w:rPr>
              <w:t>探临道路</w:t>
            </w:r>
            <w:r>
              <w:rPr>
                <w:rFonts w:hint="default" w:ascii="Times New Roman" w:hAnsi="Times New Roman" w:cs="Times New Roman"/>
                <w:b w:val="0"/>
                <w:bCs w:val="0"/>
                <w:color w:val="auto"/>
              </w:rPr>
              <w:t>平整过程中需要对占地范围内表土进行剥离，剥离后用砂石料对井场和</w:t>
            </w:r>
            <w:r>
              <w:rPr>
                <w:rFonts w:hint="eastAsia" w:ascii="Times New Roman" w:hAnsi="Times New Roman" w:cs="Times New Roman"/>
                <w:b w:val="0"/>
                <w:bCs w:val="0"/>
                <w:color w:val="auto"/>
                <w:lang w:eastAsia="zh-CN"/>
              </w:rPr>
              <w:t>探临道路</w:t>
            </w:r>
            <w:r>
              <w:rPr>
                <w:rFonts w:hint="default" w:ascii="Times New Roman" w:hAnsi="Times New Roman" w:cs="Times New Roman"/>
                <w:b w:val="0"/>
                <w:bCs w:val="0"/>
                <w:color w:val="auto"/>
              </w:rPr>
              <w:t>进行铺垫，剥离</w:t>
            </w:r>
            <w:r>
              <w:rPr>
                <w:rFonts w:hint="eastAsia" w:ascii="Times New Roman" w:hAnsi="Times New Roman" w:cs="Times New Roman"/>
                <w:b w:val="0"/>
                <w:bCs w:val="0"/>
                <w:color w:val="auto"/>
                <w:lang w:eastAsia="zh-CN"/>
              </w:rPr>
              <w:t>的</w:t>
            </w:r>
            <w:r>
              <w:rPr>
                <w:rFonts w:hint="default" w:ascii="Times New Roman" w:hAnsi="Times New Roman" w:cs="Times New Roman"/>
                <w:b w:val="0"/>
                <w:bCs w:val="0"/>
                <w:color w:val="auto"/>
              </w:rPr>
              <w:t>表土单独堆放</w:t>
            </w:r>
            <w:r>
              <w:rPr>
                <w:rFonts w:hint="eastAsia" w:ascii="Times New Roman" w:hAnsi="Times New Roman" w:cs="Times New Roman"/>
                <w:b w:val="0"/>
                <w:bCs w:val="0"/>
                <w:color w:val="auto"/>
                <w:lang w:eastAsia="zh-CN"/>
              </w:rPr>
              <w:t>（</w:t>
            </w:r>
            <w:r>
              <w:rPr>
                <w:rFonts w:hint="eastAsia" w:ascii="Times New Roman" w:hAnsi="Times New Roman" w:cs="Times New Roman"/>
                <w:b w:val="0"/>
                <w:bCs w:val="0"/>
                <w:color w:val="auto"/>
                <w:lang w:val="en-US" w:eastAsia="zh-CN"/>
              </w:rPr>
              <w:t>放置在井场后场空地临时占地范围内</w:t>
            </w:r>
            <w:r>
              <w:rPr>
                <w:rFonts w:hint="eastAsia" w:ascii="Times New Roman" w:hAnsi="Times New Roman" w:cs="Times New Roman"/>
                <w:b w:val="0"/>
                <w:bCs w:val="0"/>
                <w:color w:val="auto"/>
                <w:lang w:eastAsia="zh-CN"/>
              </w:rPr>
              <w:t>）</w:t>
            </w:r>
            <w:r>
              <w:rPr>
                <w:rFonts w:hint="default" w:ascii="Times New Roman" w:hAnsi="Times New Roman" w:cs="Times New Roman"/>
                <w:b w:val="0"/>
                <w:bCs w:val="0"/>
                <w:color w:val="auto"/>
              </w:rPr>
              <w:t>，</w:t>
            </w:r>
            <w:r>
              <w:rPr>
                <w:rFonts w:hint="eastAsia" w:ascii="Times New Roman" w:hAnsi="Times New Roman" w:cs="Times New Roman"/>
                <w:b w:val="0"/>
                <w:bCs w:val="0"/>
                <w:color w:val="auto"/>
                <w:lang w:val="en-US" w:eastAsia="zh-CN"/>
              </w:rPr>
              <w:t>表土保存过程使用防尘网苫盖；施工结束后进行垫层清理（砂石料拉运至下一井场使用），剥离的表土及时回填，按照原有土地利用类型进行生态恢复</w:t>
            </w:r>
            <w:r>
              <w:rPr>
                <w:rFonts w:hint="eastAsia" w:cs="Times New Roman"/>
                <w:b w:val="0"/>
                <w:bCs w:val="0"/>
                <w:color w:val="auto"/>
                <w:lang w:val="en-US" w:eastAsia="zh-CN"/>
              </w:rPr>
              <w:t>－</w:t>
            </w:r>
            <w:r>
              <w:rPr>
                <w:rFonts w:hint="eastAsia" w:ascii="Times New Roman" w:hAnsi="Times New Roman" w:cs="Times New Roman"/>
                <w:b w:val="0"/>
                <w:bCs w:val="0"/>
                <w:color w:val="auto"/>
                <w:lang w:val="en-US" w:eastAsia="zh-CN"/>
              </w:rPr>
              <w:t>开展土地复垦</w:t>
            </w:r>
            <w:r>
              <w:rPr>
                <w:rFonts w:hint="default" w:ascii="Times New Roman" w:hAnsi="Times New Roman" w:cs="Times New Roman"/>
                <w:b w:val="0"/>
                <w:bCs w:val="0"/>
                <w:color w:val="auto"/>
              </w:rPr>
              <w:t>，</w:t>
            </w:r>
            <w:r>
              <w:rPr>
                <w:rFonts w:hint="eastAsia" w:ascii="Times New Roman" w:hAnsi="Times New Roman" w:cs="Times New Roman"/>
                <w:b w:val="0"/>
                <w:bCs w:val="0"/>
                <w:color w:val="auto"/>
                <w:lang w:val="en-US" w:eastAsia="zh-CN"/>
              </w:rPr>
              <w:t>项目</w:t>
            </w:r>
            <w:r>
              <w:rPr>
                <w:rFonts w:hint="default" w:ascii="Times New Roman" w:hAnsi="Times New Roman" w:cs="Times New Roman"/>
                <w:b w:val="0"/>
                <w:bCs w:val="0"/>
                <w:color w:val="auto"/>
              </w:rPr>
              <w:t>无弃方产生。</w:t>
            </w:r>
          </w:p>
          <w:p>
            <w:pPr>
              <w:pStyle w:val="10"/>
              <w:ind w:firstLine="480"/>
              <w:rPr>
                <w:rFonts w:hint="default" w:ascii="Times New Roman" w:hAnsi="Times New Roman" w:cs="Times New Roman"/>
                <w:b w:val="0"/>
                <w:bCs w:val="0"/>
                <w:color w:val="auto"/>
              </w:rPr>
            </w:pPr>
            <w:bookmarkStart w:id="90" w:name="_Hlk136795783"/>
            <w:r>
              <w:rPr>
                <w:rFonts w:hint="default" w:ascii="Times New Roman" w:hAnsi="Times New Roman" w:cs="Times New Roman"/>
                <w:b w:val="0"/>
                <w:bCs w:val="0"/>
                <w:color w:val="auto"/>
                <w:lang w:val="en-US" w:eastAsia="zh-CN"/>
              </w:rPr>
              <w:t>本项目</w:t>
            </w:r>
            <w:r>
              <w:rPr>
                <w:rFonts w:hint="default" w:ascii="Times New Roman" w:hAnsi="Times New Roman" w:cs="Times New Roman"/>
                <w:b w:val="0"/>
                <w:bCs w:val="0"/>
                <w:color w:val="auto"/>
              </w:rPr>
              <w:t>固体废物主要为钻井岩屑、沾油废防渗材料、废润滑油、废润滑油桶</w:t>
            </w:r>
            <w:r>
              <w:rPr>
                <w:rFonts w:hint="eastAsia" w:ascii="Times New Roman" w:hAnsi="Times New Roman" w:cs="Times New Roman"/>
                <w:b w:val="0"/>
                <w:bCs w:val="0"/>
                <w:color w:val="auto"/>
                <w:lang w:eastAsia="zh-CN"/>
              </w:rPr>
              <w:t>、</w:t>
            </w:r>
            <w:r>
              <w:rPr>
                <w:rFonts w:hint="default" w:ascii="Times New Roman" w:hAnsi="Times New Roman" w:cs="Times New Roman"/>
                <w:b w:val="0"/>
                <w:bCs w:val="0"/>
                <w:color w:val="auto"/>
              </w:rPr>
              <w:t>生活垃圾</w:t>
            </w:r>
            <w:r>
              <w:rPr>
                <w:rFonts w:hint="eastAsia" w:ascii="Times New Roman" w:hAnsi="Times New Roman" w:cs="Times New Roman"/>
                <w:b w:val="0"/>
                <w:bCs w:val="0"/>
                <w:color w:val="auto"/>
                <w:lang w:val="en-US" w:eastAsia="zh-CN"/>
              </w:rPr>
              <w:t>和建筑垃圾</w:t>
            </w:r>
            <w:r>
              <w:rPr>
                <w:rFonts w:hint="default" w:ascii="Times New Roman" w:hAnsi="Times New Roman" w:cs="Times New Roman"/>
                <w:b w:val="0"/>
                <w:bCs w:val="0"/>
                <w:color w:val="auto"/>
              </w:rPr>
              <w:t>。</w:t>
            </w:r>
          </w:p>
          <w:p>
            <w:pPr>
              <w:pStyle w:val="10"/>
              <w:ind w:firstLine="480"/>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（1）钻井岩屑</w:t>
            </w:r>
          </w:p>
          <w:p>
            <w:pPr>
              <w:pStyle w:val="10"/>
              <w:ind w:firstLine="480"/>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钻井过程中，岩石经钻头和钻井液的研磨而破碎成岩屑，随钻井液排出井口，进入固控设备处理后岩屑与钻井液分离，液体循环使用，钻井结束后由钻井队带走，用于下一口井的配制。固体（钻井岩屑）经钻井液不落地系统处理后运离井场。岩屑产生量与井身结构有关，可按下式计算：</w:t>
            </w:r>
          </w:p>
          <w:p>
            <w:pPr>
              <w:pStyle w:val="10"/>
              <w:ind w:firstLine="0" w:firstLineChars="0"/>
              <w:jc w:val="center"/>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W=1/4×π×D</w:t>
            </w:r>
            <w:r>
              <w:rPr>
                <w:rFonts w:hint="default" w:ascii="Times New Roman" w:hAnsi="Times New Roman" w:cs="Times New Roman"/>
                <w:b w:val="0"/>
                <w:bCs w:val="0"/>
                <w:color w:val="auto"/>
                <w:highlight w:val="none"/>
                <w:vertAlign w:val="superscript"/>
              </w:rPr>
              <w:t>2</w:t>
            </w:r>
            <w:r>
              <w:rPr>
                <w:rFonts w:hint="default" w:ascii="Times New Roman" w:hAnsi="Times New Roman" w:cs="Times New Roman"/>
                <w:b w:val="0"/>
                <w:bCs w:val="0"/>
                <w:color w:val="auto"/>
                <w:highlight w:val="none"/>
              </w:rPr>
              <w:t>×h×P</w:t>
            </w:r>
          </w:p>
          <w:p>
            <w:pPr>
              <w:pStyle w:val="10"/>
              <w:ind w:firstLine="480"/>
              <w:rPr>
                <w:rFonts w:hint="default" w:ascii="Times New Roman" w:hAnsi="Times New Roman" w:cs="Times New Roman"/>
                <w:b w:val="0"/>
                <w:bCs w:val="0"/>
                <w:color w:val="auto"/>
                <w:highlight w:val="yellow"/>
              </w:rPr>
            </w:pPr>
            <w:r>
              <w:rPr>
                <w:rFonts w:hint="default" w:ascii="Times New Roman" w:hAnsi="Times New Roman" w:cs="Times New Roman"/>
                <w:b w:val="0"/>
                <w:bCs w:val="0"/>
                <w:color w:val="auto"/>
                <w:highlight w:val="none"/>
              </w:rPr>
              <w:t>式中：W——产生的岩屑量，m</w:t>
            </w:r>
            <w:r>
              <w:rPr>
                <w:rFonts w:hint="default" w:ascii="Times New Roman" w:hAnsi="Times New Roman" w:cs="Times New Roman"/>
                <w:b w:val="0"/>
                <w:bCs w:val="0"/>
                <w:color w:val="auto"/>
                <w:highlight w:val="none"/>
                <w:vertAlign w:val="superscript"/>
              </w:rPr>
              <w:t>3</w:t>
            </w:r>
            <w:r>
              <w:rPr>
                <w:rFonts w:hint="default" w:ascii="Times New Roman" w:hAnsi="Times New Roman" w:cs="Times New Roman"/>
                <w:b w:val="0"/>
                <w:bCs w:val="0"/>
                <w:color w:val="auto"/>
                <w:highlight w:val="none"/>
              </w:rPr>
              <w:t>；</w:t>
            </w:r>
          </w:p>
          <w:p>
            <w:pPr>
              <w:pStyle w:val="10"/>
              <w:ind w:firstLine="480"/>
              <w:rPr>
                <w:rFonts w:hint="default" w:ascii="Times New Roman" w:hAnsi="Times New Roman" w:cs="Times New Roman"/>
                <w:b w:val="0"/>
                <w:bCs w:val="0"/>
                <w:color w:val="auto"/>
              </w:rPr>
            </w:pPr>
            <w:r>
              <w:rPr>
                <w:rFonts w:hint="default" w:ascii="Times New Roman" w:hAnsi="Times New Roman" w:cs="Times New Roman"/>
                <w:b w:val="0"/>
                <w:bCs w:val="0"/>
                <w:color w:val="auto"/>
              </w:rPr>
              <w:t xml:space="preserve">      D——井眼平均井径，m；</w:t>
            </w:r>
          </w:p>
          <w:p>
            <w:pPr>
              <w:pStyle w:val="10"/>
              <w:ind w:firstLine="480"/>
              <w:rPr>
                <w:rFonts w:hint="default" w:ascii="Times New Roman" w:hAnsi="Times New Roman" w:cs="Times New Roman"/>
                <w:b w:val="0"/>
                <w:bCs w:val="0"/>
                <w:color w:val="auto"/>
              </w:rPr>
            </w:pPr>
            <w:r>
              <w:rPr>
                <w:rFonts w:hint="default" w:ascii="Times New Roman" w:hAnsi="Times New Roman" w:cs="Times New Roman"/>
                <w:b w:val="0"/>
                <w:bCs w:val="0"/>
                <w:color w:val="auto"/>
              </w:rPr>
              <w:t xml:space="preserve">      h——裸眼长度，m；</w:t>
            </w:r>
          </w:p>
          <w:p>
            <w:pPr>
              <w:pStyle w:val="10"/>
              <w:ind w:firstLine="480"/>
              <w:rPr>
                <w:rFonts w:hint="default" w:ascii="Times New Roman" w:hAnsi="Times New Roman" w:cs="Times New Roman"/>
                <w:b w:val="0"/>
                <w:bCs w:val="0"/>
                <w:color w:val="auto"/>
              </w:rPr>
            </w:pPr>
            <w:r>
              <w:rPr>
                <w:rFonts w:hint="default" w:ascii="Times New Roman" w:hAnsi="Times New Roman" w:cs="Times New Roman"/>
                <w:b w:val="0"/>
                <w:bCs w:val="0"/>
                <w:color w:val="auto"/>
              </w:rPr>
              <w:t xml:space="preserve">      P——膨胀系数，</w:t>
            </w:r>
            <w:r>
              <w:rPr>
                <w:rFonts w:hint="eastAsia" w:cs="Times New Roman"/>
                <w:b w:val="0"/>
                <w:bCs w:val="0"/>
                <w:color w:val="auto"/>
                <w:lang w:val="en-US" w:eastAsia="zh-CN"/>
              </w:rPr>
              <w:t>一开</w:t>
            </w:r>
            <w:r>
              <w:rPr>
                <w:rFonts w:hint="default" w:ascii="Times New Roman" w:hAnsi="Times New Roman" w:cs="Times New Roman"/>
                <w:b w:val="0"/>
                <w:bCs w:val="0"/>
                <w:color w:val="auto"/>
              </w:rPr>
              <w:t>使用水基钻井液体系取2.2</w:t>
            </w:r>
            <w:r>
              <w:rPr>
                <w:rFonts w:hint="eastAsia" w:cs="Times New Roman"/>
                <w:b w:val="0"/>
                <w:bCs w:val="0"/>
                <w:color w:val="auto"/>
                <w:lang w:eastAsia="zh-CN"/>
              </w:rPr>
              <w:t>，</w:t>
            </w:r>
            <w:r>
              <w:rPr>
                <w:rFonts w:hint="eastAsia" w:cs="Times New Roman"/>
                <w:b w:val="0"/>
                <w:bCs w:val="0"/>
                <w:color w:val="auto"/>
                <w:lang w:val="en-US" w:eastAsia="zh-CN"/>
              </w:rPr>
              <w:t>二开、三开使用油基钻井液体系取5.0</w:t>
            </w:r>
            <w:r>
              <w:rPr>
                <w:rFonts w:hint="default" w:ascii="Times New Roman" w:hAnsi="Times New Roman" w:cs="Times New Roman"/>
                <w:b w:val="0"/>
                <w:bCs w:val="0"/>
                <w:color w:val="auto"/>
              </w:rPr>
              <w:t>。</w:t>
            </w:r>
          </w:p>
          <w:p>
            <w:pPr>
              <w:pStyle w:val="10"/>
              <w:ind w:firstLine="480"/>
              <w:rPr>
                <w:rFonts w:hint="default" w:ascii="Times New Roman" w:hAnsi="Times New Roman" w:eastAsia="黑体" w:cs="Times New Roman"/>
                <w:b w:val="0"/>
                <w:bCs w:val="0"/>
                <w:color w:val="auto"/>
                <w:sz w:val="21"/>
                <w:szCs w:val="21"/>
              </w:rPr>
            </w:pPr>
            <w:r>
              <w:rPr>
                <w:rFonts w:hint="default" w:ascii="Times New Roman" w:hAnsi="Times New Roman" w:cs="Times New Roman"/>
                <w:b w:val="0"/>
                <w:bCs w:val="0"/>
                <w:color w:val="auto"/>
              </w:rPr>
              <w:t>根据井身结构计算岩屑产生量，水基岩屑按体积计，油基岩屑按质量计（ρ=2.5g/cm</w:t>
            </w:r>
            <w:r>
              <w:rPr>
                <w:rFonts w:hint="default" w:ascii="Times New Roman" w:hAnsi="Times New Roman" w:cs="Times New Roman"/>
                <w:b w:val="0"/>
                <w:bCs w:val="0"/>
                <w:color w:val="auto"/>
                <w:vertAlign w:val="superscript"/>
              </w:rPr>
              <w:t>3</w:t>
            </w:r>
            <w:r>
              <w:rPr>
                <w:rFonts w:hint="default" w:ascii="Times New Roman" w:hAnsi="Times New Roman" w:cs="Times New Roman"/>
                <w:b w:val="0"/>
                <w:bCs w:val="0"/>
                <w:color w:val="auto"/>
              </w:rPr>
              <w:t>）。根据井身结构计算钻井期岩屑产生量见表</w:t>
            </w:r>
            <w:r>
              <w:rPr>
                <w:rFonts w:hint="default" w:ascii="Times New Roman" w:hAnsi="Times New Roman" w:cs="Times New Roman"/>
                <w:b w:val="0"/>
                <w:bCs w:val="0"/>
                <w:color w:val="auto"/>
                <w:lang w:val="en-US" w:eastAsia="zh-CN"/>
              </w:rPr>
              <w:t>4-4</w:t>
            </w:r>
            <w:r>
              <w:rPr>
                <w:rFonts w:hint="default" w:ascii="Times New Roman" w:hAnsi="Times New Roman" w:cs="Times New Roman"/>
                <w:b w:val="0"/>
                <w:bCs w:val="0"/>
                <w:color w:val="auto"/>
              </w:rPr>
              <w:t>。</w:t>
            </w:r>
            <w:bookmarkStart w:id="91" w:name="_Ref19642107"/>
          </w:p>
          <w:p>
            <w:pPr>
              <w:pStyle w:val="56"/>
              <w:bidi w:val="0"/>
              <w:rPr>
                <w:rFonts w:hint="default"/>
                <w:color w:val="auto"/>
              </w:rPr>
            </w:pPr>
            <w:r>
              <w:rPr>
                <w:rFonts w:hint="default"/>
                <w:color w:val="auto"/>
              </w:rPr>
              <w:t>表</w:t>
            </w:r>
            <w:bookmarkEnd w:id="91"/>
            <w:r>
              <w:rPr>
                <w:rFonts w:hint="default"/>
                <w:color w:val="auto"/>
                <w:lang w:val="en-US" w:eastAsia="zh-CN"/>
              </w:rPr>
              <w:t>4-4</w:t>
            </w:r>
            <w:r>
              <w:rPr>
                <w:rFonts w:hint="default"/>
                <w:color w:val="auto"/>
              </w:rPr>
              <w:t xml:space="preserve">  钻井岩屑产生情况表</w:t>
            </w:r>
          </w:p>
          <w:tbl>
            <w:tblPr>
              <w:tblStyle w:val="27"/>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57" w:type="dxa"/>
                <w:bottom w:w="0" w:type="dxa"/>
                <w:right w:w="57" w:type="dxa"/>
              </w:tblCellMar>
            </w:tblPr>
            <w:tblGrid>
              <w:gridCol w:w="847"/>
              <w:gridCol w:w="830"/>
              <w:gridCol w:w="1330"/>
              <w:gridCol w:w="1611"/>
              <w:gridCol w:w="1187"/>
              <w:gridCol w:w="1001"/>
              <w:gridCol w:w="90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549" w:type="pct"/>
                  <w:vAlign w:val="center"/>
                </w:tcPr>
                <w:p>
                  <w:pPr>
                    <w:pStyle w:val="35"/>
                    <w:bidi w:val="0"/>
                    <w:rPr>
                      <w:rFonts w:hint="default" w:ascii="Times New Roman" w:hAnsi="Times New Roman" w:cs="Times New Roman"/>
                      <w:color w:val="auto"/>
                      <w:szCs w:val="21"/>
                    </w:rPr>
                  </w:pPr>
                  <w:bookmarkStart w:id="92" w:name="OLE_LINK26" w:colFirst="4" w:colLast="4"/>
                  <w:bookmarkStart w:id="93" w:name="_Hlk186375959"/>
                  <w:r>
                    <w:rPr>
                      <w:rFonts w:hint="default"/>
                      <w:color w:val="auto"/>
                    </w:rPr>
                    <w:t>井号</w:t>
                  </w:r>
                </w:p>
              </w:tc>
              <w:tc>
                <w:tcPr>
                  <w:tcW w:w="1400" w:type="pct"/>
                  <w:gridSpan w:val="2"/>
                  <w:vAlign w:val="center"/>
                </w:tcPr>
                <w:p>
                  <w:pPr>
                    <w:pStyle w:val="35"/>
                    <w:bidi w:val="0"/>
                    <w:rPr>
                      <w:rFonts w:hint="default" w:ascii="Times New Roman" w:hAnsi="Times New Roman" w:cs="Times New Roman"/>
                      <w:color w:val="auto"/>
                      <w:szCs w:val="21"/>
                    </w:rPr>
                  </w:pPr>
                  <w:r>
                    <w:rPr>
                      <w:rFonts w:hint="default"/>
                      <w:color w:val="auto"/>
                    </w:rPr>
                    <w:t>井段</w:t>
                  </w:r>
                </w:p>
              </w:tc>
              <w:tc>
                <w:tcPr>
                  <w:tcW w:w="1044" w:type="pct"/>
                  <w:vAlign w:val="center"/>
                </w:tcPr>
                <w:p>
                  <w:pPr>
                    <w:pStyle w:val="35"/>
                    <w:bidi w:val="0"/>
                    <w:rPr>
                      <w:rFonts w:hint="default" w:ascii="Times New Roman" w:hAnsi="Times New Roman" w:cs="Times New Roman"/>
                      <w:color w:val="auto"/>
                      <w:szCs w:val="21"/>
                    </w:rPr>
                  </w:pPr>
                  <w:r>
                    <w:rPr>
                      <w:rFonts w:hint="default"/>
                      <w:color w:val="auto"/>
                    </w:rPr>
                    <w:t>钻头尺寸</w:t>
                  </w:r>
                  <w:r>
                    <w:rPr>
                      <w:rFonts w:hint="eastAsia"/>
                      <w:color w:val="auto"/>
                      <w:lang w:eastAsia="zh-CN"/>
                    </w:rPr>
                    <w:t>（</w:t>
                  </w:r>
                  <w:r>
                    <w:rPr>
                      <w:rFonts w:hint="default"/>
                      <w:color w:val="auto"/>
                    </w:rPr>
                    <w:t>mm</w:t>
                  </w:r>
                  <w:r>
                    <w:rPr>
                      <w:rFonts w:hint="eastAsia"/>
                      <w:color w:val="auto"/>
                      <w:lang w:eastAsia="zh-CN"/>
                    </w:rPr>
                    <w:t>）</w:t>
                  </w:r>
                </w:p>
              </w:tc>
              <w:tc>
                <w:tcPr>
                  <w:tcW w:w="769" w:type="pct"/>
                  <w:vAlign w:val="center"/>
                </w:tcPr>
                <w:p>
                  <w:pPr>
                    <w:pStyle w:val="35"/>
                    <w:bidi w:val="0"/>
                    <w:rPr>
                      <w:rFonts w:hint="default" w:ascii="Times New Roman" w:hAnsi="Times New Roman" w:cs="Times New Roman"/>
                      <w:color w:val="auto"/>
                      <w:szCs w:val="21"/>
                    </w:rPr>
                  </w:pPr>
                  <w:r>
                    <w:rPr>
                      <w:rFonts w:hint="default"/>
                      <w:color w:val="auto"/>
                    </w:rPr>
                    <w:t>井段</w:t>
                  </w:r>
                  <w:r>
                    <w:rPr>
                      <w:rFonts w:hint="eastAsia"/>
                      <w:color w:val="auto"/>
                      <w:lang w:eastAsia="zh-CN"/>
                    </w:rPr>
                    <w:t>（</w:t>
                  </w:r>
                  <w:r>
                    <w:rPr>
                      <w:rFonts w:hint="default"/>
                      <w:color w:val="auto"/>
                    </w:rPr>
                    <w:t>m</w:t>
                  </w:r>
                  <w:r>
                    <w:rPr>
                      <w:rFonts w:hint="eastAsia"/>
                      <w:color w:val="auto"/>
                      <w:lang w:eastAsia="zh-CN"/>
                    </w:rPr>
                    <w:t>）</w:t>
                  </w:r>
                </w:p>
              </w:tc>
              <w:tc>
                <w:tcPr>
                  <w:tcW w:w="1234" w:type="pct"/>
                  <w:gridSpan w:val="2"/>
                  <w:vAlign w:val="center"/>
                </w:tcPr>
                <w:p>
                  <w:pPr>
                    <w:pStyle w:val="35"/>
                    <w:bidi w:val="0"/>
                    <w:rPr>
                      <w:rFonts w:hint="default" w:ascii="Times New Roman" w:hAnsi="Times New Roman" w:cs="Times New Roman"/>
                      <w:color w:val="auto"/>
                      <w:szCs w:val="21"/>
                    </w:rPr>
                  </w:pPr>
                  <w:r>
                    <w:rPr>
                      <w:rFonts w:hint="default"/>
                      <w:color w:val="auto"/>
                    </w:rPr>
                    <w:t>岩屑产生量</w:t>
                  </w:r>
                </w:p>
              </w:tc>
            </w:tr>
            <w:bookmarkEnd w:id="92"/>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549" w:type="pct"/>
                  <w:vMerge w:val="restart"/>
                  <w:vAlign w:val="center"/>
                </w:tcPr>
                <w:p>
                  <w:pPr>
                    <w:pStyle w:val="35"/>
                    <w:bidi w:val="0"/>
                    <w:rPr>
                      <w:rFonts w:hint="default" w:ascii="Times New Roman" w:hAnsi="Times New Roman" w:cs="Times New Roman"/>
                      <w:color w:val="auto"/>
                      <w:szCs w:val="21"/>
                    </w:rPr>
                  </w:pPr>
                  <w:r>
                    <w:rPr>
                      <w:rFonts w:hint="eastAsia"/>
                      <w:color w:val="auto"/>
                      <w:lang w:val="en-US" w:eastAsia="zh-CN"/>
                    </w:rPr>
                    <w:t>莫24H井</w:t>
                  </w:r>
                </w:p>
              </w:tc>
              <w:tc>
                <w:tcPr>
                  <w:tcW w:w="538" w:type="pct"/>
                  <w:vAlign w:val="center"/>
                </w:tcPr>
                <w:p>
                  <w:pPr>
                    <w:pStyle w:val="35"/>
                    <w:bidi w:val="0"/>
                    <w:rPr>
                      <w:rFonts w:hint="default" w:ascii="Times New Roman" w:hAnsi="Times New Roman" w:cs="Times New Roman"/>
                      <w:color w:val="auto"/>
                      <w:szCs w:val="21"/>
                    </w:rPr>
                  </w:pPr>
                  <w:r>
                    <w:rPr>
                      <w:rFonts w:hint="default"/>
                      <w:color w:val="auto"/>
                    </w:rPr>
                    <w:t>一开</w:t>
                  </w:r>
                </w:p>
              </w:tc>
              <w:tc>
                <w:tcPr>
                  <w:tcW w:w="862" w:type="pct"/>
                  <w:vAlign w:val="center"/>
                </w:tcPr>
                <w:p>
                  <w:pPr>
                    <w:pStyle w:val="35"/>
                    <w:bidi w:val="0"/>
                    <w:rPr>
                      <w:rFonts w:hint="default" w:ascii="Times New Roman" w:hAnsi="Times New Roman" w:cs="Times New Roman"/>
                      <w:color w:val="auto"/>
                      <w:szCs w:val="21"/>
                    </w:rPr>
                  </w:pPr>
                  <w:r>
                    <w:rPr>
                      <w:rFonts w:hint="default"/>
                      <w:color w:val="auto"/>
                    </w:rPr>
                    <w:t>水基钻井液</w:t>
                  </w:r>
                </w:p>
              </w:tc>
              <w:tc>
                <w:tcPr>
                  <w:tcW w:w="1044" w:type="pct"/>
                  <w:shd w:val="clear" w:color="auto" w:fill="auto"/>
                  <w:vAlign w:val="center"/>
                </w:tcPr>
                <w:p>
                  <w:pPr>
                    <w:pStyle w:val="35"/>
                    <w:bidi w:val="0"/>
                    <w:rPr>
                      <w:rFonts w:hint="default" w:ascii="Times New Roman" w:hAnsi="Times New Roman" w:eastAsia="宋体" w:cs="Times New Roman"/>
                      <w:color w:val="auto"/>
                      <w:kern w:val="0"/>
                      <w:szCs w:val="21"/>
                      <w:lang w:val="en-US" w:eastAsia="zh-CN" w:bidi="ar-SA"/>
                    </w:rPr>
                  </w:pPr>
                  <w:r>
                    <w:rPr>
                      <w:rFonts w:hint="default"/>
                      <w:color w:val="auto"/>
                    </w:rPr>
                    <w:t>444.5</w:t>
                  </w:r>
                </w:p>
              </w:tc>
              <w:tc>
                <w:tcPr>
                  <w:tcW w:w="769" w:type="pct"/>
                  <w:vAlign w:val="center"/>
                </w:tcPr>
                <w:p>
                  <w:pPr>
                    <w:pStyle w:val="35"/>
                    <w:bidi w:val="0"/>
                    <w:rPr>
                      <w:rFonts w:hint="default" w:ascii="Times New Roman" w:hAnsi="Times New Roman" w:cs="Times New Roman"/>
                      <w:color w:val="auto"/>
                      <w:szCs w:val="21"/>
                    </w:rPr>
                  </w:pPr>
                  <w:r>
                    <w:rPr>
                      <w:rFonts w:hint="default"/>
                      <w:color w:val="auto"/>
                    </w:rPr>
                    <w:t>0</w:t>
                  </w:r>
                  <w:r>
                    <w:rPr>
                      <w:rFonts w:hint="eastAsia"/>
                      <w:color w:val="auto"/>
                      <w:lang w:eastAsia="zh-CN"/>
                    </w:rPr>
                    <w:t>~</w:t>
                  </w:r>
                  <w:r>
                    <w:rPr>
                      <w:rFonts w:hint="eastAsia"/>
                      <w:color w:val="auto"/>
                      <w:lang w:val="en-US" w:eastAsia="zh-CN"/>
                    </w:rPr>
                    <w:t>952</w:t>
                  </w:r>
                </w:p>
              </w:tc>
              <w:tc>
                <w:tcPr>
                  <w:tcW w:w="1234" w:type="pct"/>
                  <w:gridSpan w:val="2"/>
                  <w:vAlign w:val="center"/>
                </w:tcPr>
                <w:p>
                  <w:pPr>
                    <w:pStyle w:val="35"/>
                    <w:bidi w:val="0"/>
                    <w:rPr>
                      <w:rFonts w:hint="default"/>
                      <w:color w:val="auto"/>
                      <w:lang w:val="en-US" w:eastAsia="zh-CN"/>
                    </w:rPr>
                  </w:pPr>
                  <w:bookmarkStart w:id="94" w:name="OLE_LINK43"/>
                  <w:r>
                    <w:rPr>
                      <w:rFonts w:hint="eastAsia"/>
                      <w:color w:val="auto"/>
                      <w:lang w:val="en-US" w:eastAsia="zh-CN"/>
                    </w:rPr>
                    <w:t>324.16</w:t>
                  </w:r>
                  <w:bookmarkEnd w:id="94"/>
                  <w:r>
                    <w:rPr>
                      <w:rFonts w:hint="default"/>
                      <w:color w:val="auto"/>
                    </w:rPr>
                    <w:t>m</w:t>
                  </w:r>
                  <w:r>
                    <w:rPr>
                      <w:rFonts w:hint="default"/>
                      <w:color w:val="auto"/>
                      <w:vertAlign w:val="superscript"/>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18" w:hRule="atLeast"/>
                <w:jc w:val="center"/>
              </w:trPr>
              <w:tc>
                <w:tcPr>
                  <w:tcW w:w="549" w:type="pct"/>
                  <w:vMerge w:val="continue"/>
                  <w:vAlign w:val="center"/>
                </w:tcPr>
                <w:p>
                  <w:pPr>
                    <w:rPr>
                      <w:rFonts w:hint="default" w:ascii="Times New Roman" w:hAnsi="Times New Roman" w:cs="Times New Roman"/>
                      <w:color w:val="auto"/>
                      <w:sz w:val="21"/>
                      <w:szCs w:val="21"/>
                    </w:rPr>
                  </w:pPr>
                </w:p>
              </w:tc>
              <w:tc>
                <w:tcPr>
                  <w:tcW w:w="538" w:type="pct"/>
                  <w:vAlign w:val="center"/>
                </w:tcPr>
                <w:p>
                  <w:pPr>
                    <w:pStyle w:val="35"/>
                    <w:bidi w:val="0"/>
                    <w:rPr>
                      <w:rFonts w:hint="default" w:ascii="Times New Roman" w:hAnsi="Times New Roman" w:cs="Times New Roman"/>
                      <w:color w:val="auto"/>
                      <w:szCs w:val="21"/>
                    </w:rPr>
                  </w:pPr>
                  <w:r>
                    <w:rPr>
                      <w:rFonts w:hint="default"/>
                      <w:color w:val="auto"/>
                    </w:rPr>
                    <w:t>二开</w:t>
                  </w:r>
                </w:p>
              </w:tc>
              <w:tc>
                <w:tcPr>
                  <w:tcW w:w="862" w:type="pct"/>
                  <w:vMerge w:val="restart"/>
                  <w:vAlign w:val="center"/>
                </w:tcPr>
                <w:p>
                  <w:pPr>
                    <w:pStyle w:val="35"/>
                    <w:bidi w:val="0"/>
                    <w:rPr>
                      <w:rFonts w:hint="default" w:ascii="Times New Roman" w:hAnsi="Times New Roman" w:cs="Times New Roman"/>
                      <w:color w:val="auto"/>
                      <w:szCs w:val="21"/>
                    </w:rPr>
                  </w:pPr>
                  <w:r>
                    <w:rPr>
                      <w:rFonts w:hint="eastAsia"/>
                      <w:color w:val="auto"/>
                      <w:lang w:val="en-US" w:eastAsia="zh-CN"/>
                    </w:rPr>
                    <w:t>油</w:t>
                  </w:r>
                  <w:r>
                    <w:rPr>
                      <w:rFonts w:hint="default"/>
                      <w:color w:val="auto"/>
                    </w:rPr>
                    <w:t>基钻井液</w:t>
                  </w:r>
                </w:p>
              </w:tc>
              <w:tc>
                <w:tcPr>
                  <w:tcW w:w="1044" w:type="pct"/>
                  <w:tcBorders>
                    <w:bottom w:val="single" w:color="auto" w:sz="4" w:space="0"/>
                  </w:tcBorders>
                  <w:shd w:val="clear" w:color="auto" w:fill="auto"/>
                  <w:vAlign w:val="center"/>
                </w:tcPr>
                <w:p>
                  <w:pPr>
                    <w:pStyle w:val="35"/>
                    <w:bidi w:val="0"/>
                    <w:rPr>
                      <w:rFonts w:hint="default" w:ascii="Times New Roman" w:hAnsi="Times New Roman" w:eastAsia="宋体" w:cs="Times New Roman"/>
                      <w:color w:val="auto"/>
                      <w:kern w:val="0"/>
                      <w:szCs w:val="21"/>
                      <w:lang w:val="en-US" w:eastAsia="zh-CN" w:bidi="ar-SA"/>
                    </w:rPr>
                  </w:pPr>
                  <w:r>
                    <w:rPr>
                      <w:rFonts w:hint="default"/>
                      <w:color w:val="auto"/>
                    </w:rPr>
                    <w:t>311.2</w:t>
                  </w:r>
                </w:p>
              </w:tc>
              <w:tc>
                <w:tcPr>
                  <w:tcW w:w="769" w:type="pct"/>
                  <w:tcBorders>
                    <w:bottom w:val="single" w:color="auto" w:sz="4" w:space="0"/>
                  </w:tcBorders>
                  <w:vAlign w:val="center"/>
                </w:tcPr>
                <w:p>
                  <w:pPr>
                    <w:pStyle w:val="35"/>
                    <w:bidi w:val="0"/>
                    <w:rPr>
                      <w:rFonts w:hint="default" w:ascii="Times New Roman" w:hAnsi="Times New Roman" w:cs="Times New Roman"/>
                      <w:color w:val="auto"/>
                      <w:szCs w:val="21"/>
                    </w:rPr>
                  </w:pPr>
                  <w:r>
                    <w:rPr>
                      <w:color w:val="auto"/>
                    </w:rPr>
                    <w:t>～</w:t>
                  </w:r>
                  <w:r>
                    <w:rPr>
                      <w:rFonts w:hint="eastAsia"/>
                      <w:color w:val="auto"/>
                      <w:lang w:val="en-US" w:eastAsia="zh-CN"/>
                    </w:rPr>
                    <w:t>3522</w:t>
                  </w:r>
                </w:p>
              </w:tc>
              <w:tc>
                <w:tcPr>
                  <w:tcW w:w="648" w:type="pct"/>
                  <w:tcBorders>
                    <w:bottom w:val="single" w:color="auto" w:sz="4" w:space="0"/>
                  </w:tcBorders>
                  <w:vAlign w:val="center"/>
                </w:tcPr>
                <w:p>
                  <w:pPr>
                    <w:pStyle w:val="35"/>
                    <w:bidi w:val="0"/>
                    <w:rPr>
                      <w:rFonts w:hint="default"/>
                      <w:color w:val="auto"/>
                      <w:lang w:val="en-US" w:eastAsia="zh-CN"/>
                    </w:rPr>
                  </w:pPr>
                  <w:r>
                    <w:rPr>
                      <w:rFonts w:hint="eastAsia"/>
                      <w:color w:val="auto"/>
                      <w:lang w:val="en-US" w:eastAsia="zh-CN"/>
                    </w:rPr>
                    <w:t>2442.25t</w:t>
                  </w:r>
                </w:p>
              </w:tc>
              <w:tc>
                <w:tcPr>
                  <w:tcW w:w="586" w:type="pct"/>
                  <w:vMerge w:val="restart"/>
                  <w:vAlign w:val="center"/>
                </w:tcPr>
                <w:p>
                  <w:pPr>
                    <w:pStyle w:val="35"/>
                    <w:bidi w:val="0"/>
                    <w:rPr>
                      <w:rFonts w:hint="default"/>
                      <w:color w:val="auto"/>
                      <w:lang w:val="en-US" w:eastAsia="zh-CN"/>
                    </w:rPr>
                  </w:pPr>
                  <w:r>
                    <w:rPr>
                      <w:rFonts w:hint="eastAsia"/>
                      <w:color w:val="auto"/>
                      <w:lang w:val="en-US" w:eastAsia="zh-CN"/>
                    </w:rPr>
                    <w:t>3616.38t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13" w:hRule="atLeast"/>
                <w:jc w:val="center"/>
              </w:trPr>
              <w:tc>
                <w:tcPr>
                  <w:tcW w:w="549" w:type="pct"/>
                  <w:vMerge w:val="continue"/>
                  <w:vAlign w:val="center"/>
                </w:tcPr>
                <w:p>
                  <w:pPr>
                    <w:rPr>
                      <w:rFonts w:hint="default" w:ascii="Times New Roman" w:hAnsi="Times New Roman" w:cs="Times New Roman"/>
                      <w:color w:val="auto"/>
                      <w:sz w:val="21"/>
                      <w:szCs w:val="21"/>
                    </w:rPr>
                  </w:pPr>
                </w:p>
              </w:tc>
              <w:tc>
                <w:tcPr>
                  <w:tcW w:w="538" w:type="pct"/>
                  <w:vAlign w:val="center"/>
                </w:tcPr>
                <w:p>
                  <w:pPr>
                    <w:pStyle w:val="35"/>
                    <w:bidi w:val="0"/>
                    <w:rPr>
                      <w:rFonts w:hint="eastAsia" w:ascii="Times New Roman" w:hAnsi="Times New Roman" w:eastAsia="宋体" w:cs="Times New Roman"/>
                      <w:color w:val="auto"/>
                      <w:szCs w:val="21"/>
                      <w:lang w:eastAsia="zh-CN"/>
                    </w:rPr>
                  </w:pPr>
                  <w:r>
                    <w:rPr>
                      <w:rFonts w:hint="eastAsia"/>
                      <w:color w:val="auto"/>
                      <w:lang w:val="en-US" w:eastAsia="zh-CN"/>
                    </w:rPr>
                    <w:t>三</w:t>
                  </w:r>
                  <w:r>
                    <w:rPr>
                      <w:rFonts w:hint="eastAsia"/>
                      <w:color w:val="auto"/>
                      <w:lang w:eastAsia="zh-CN"/>
                    </w:rPr>
                    <w:t>开</w:t>
                  </w:r>
                </w:p>
              </w:tc>
              <w:tc>
                <w:tcPr>
                  <w:tcW w:w="862" w:type="pct"/>
                  <w:vMerge w:val="continue"/>
                  <w:vAlign w:val="center"/>
                </w:tcPr>
                <w:p>
                  <w:pPr>
                    <w:rPr>
                      <w:rFonts w:hint="default" w:ascii="Times New Roman" w:hAnsi="Times New Roman" w:cs="Times New Roman"/>
                      <w:color w:val="auto"/>
                      <w:sz w:val="21"/>
                      <w:szCs w:val="21"/>
                    </w:rPr>
                  </w:pPr>
                </w:p>
              </w:tc>
              <w:tc>
                <w:tcPr>
                  <w:tcW w:w="1044" w:type="pct"/>
                  <w:tcBorders>
                    <w:top w:val="single" w:color="auto" w:sz="4" w:space="0"/>
                  </w:tcBorders>
                  <w:vAlign w:val="center"/>
                </w:tcPr>
                <w:p>
                  <w:pPr>
                    <w:pStyle w:val="35"/>
                    <w:bidi w:val="0"/>
                    <w:rPr>
                      <w:rFonts w:hint="default" w:ascii="Times New Roman" w:hAnsi="Times New Roman" w:eastAsia="宋体" w:cs="Times New Roman"/>
                      <w:color w:val="auto"/>
                      <w:szCs w:val="21"/>
                      <w:lang w:val="en-US" w:eastAsia="zh-CN"/>
                    </w:rPr>
                  </w:pPr>
                  <w:r>
                    <w:rPr>
                      <w:rFonts w:hint="default"/>
                      <w:color w:val="auto"/>
                      <w:lang w:val="en-US" w:eastAsia="zh-CN"/>
                    </w:rPr>
                    <w:t>215.9</w:t>
                  </w:r>
                </w:p>
              </w:tc>
              <w:tc>
                <w:tcPr>
                  <w:tcW w:w="769" w:type="pct"/>
                  <w:tcBorders>
                    <w:top w:val="single" w:color="auto" w:sz="4" w:space="0"/>
                  </w:tcBorders>
                  <w:vAlign w:val="center"/>
                </w:tcPr>
                <w:p>
                  <w:pPr>
                    <w:pStyle w:val="35"/>
                    <w:bidi w:val="0"/>
                    <w:rPr>
                      <w:rFonts w:hint="default" w:ascii="Times New Roman" w:hAnsi="Times New Roman" w:eastAsia="宋体" w:cs="Times New Roman"/>
                      <w:color w:val="auto"/>
                      <w:szCs w:val="21"/>
                      <w:lang w:val="en-US" w:eastAsia="zh-CN"/>
                    </w:rPr>
                  </w:pPr>
                  <w:r>
                    <w:rPr>
                      <w:color w:val="auto"/>
                    </w:rPr>
                    <w:t>～</w:t>
                  </w:r>
                  <w:r>
                    <w:rPr>
                      <w:rFonts w:hint="eastAsia"/>
                      <w:color w:val="auto"/>
                      <w:lang w:val="en-US" w:eastAsia="zh-CN"/>
                    </w:rPr>
                    <w:t>6089</w:t>
                  </w:r>
                </w:p>
              </w:tc>
              <w:tc>
                <w:tcPr>
                  <w:tcW w:w="648" w:type="pct"/>
                  <w:tcBorders>
                    <w:top w:val="single" w:color="auto" w:sz="4" w:space="0"/>
                  </w:tcBorders>
                  <w:vAlign w:val="center"/>
                </w:tcPr>
                <w:p>
                  <w:pPr>
                    <w:pStyle w:val="35"/>
                    <w:bidi w:val="0"/>
                    <w:rPr>
                      <w:rFonts w:hint="default"/>
                      <w:color w:val="auto"/>
                      <w:lang w:val="en-US" w:eastAsia="zh-CN"/>
                    </w:rPr>
                  </w:pPr>
                  <w:r>
                    <w:rPr>
                      <w:rFonts w:hint="eastAsia"/>
                      <w:color w:val="auto"/>
                      <w:lang w:val="en-US" w:eastAsia="zh-CN"/>
                    </w:rPr>
                    <w:t>1174.13t</w:t>
                  </w:r>
                </w:p>
              </w:tc>
              <w:tc>
                <w:tcPr>
                  <w:tcW w:w="586" w:type="pct"/>
                  <w:vMerge w:val="continue"/>
                  <w:vAlign w:val="center"/>
                </w:tcPr>
                <w:p>
                  <w:pPr>
                    <w:pStyle w:val="35"/>
                    <w:bidi w:val="0"/>
                    <w:rPr>
                      <w:rFonts w:hint="eastAsia"/>
                      <w:color w:val="auto"/>
                      <w:lang w:val="en-US" w:eastAsia="zh-CN"/>
                    </w:rPr>
                  </w:pPr>
                </w:p>
              </w:tc>
            </w:tr>
            <w:bookmarkEnd w:id="90"/>
            <w:bookmarkEnd w:id="93"/>
          </w:tbl>
          <w:p>
            <w:pPr>
              <w:widowControl w:val="0"/>
              <w:spacing w:line="500" w:lineRule="exact"/>
              <w:ind w:firstLine="480" w:firstLineChars="200"/>
              <w:jc w:val="both"/>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t>由表</w:t>
            </w:r>
            <w:r>
              <w:rPr>
                <w:rFonts w:hint="eastAsia" w:ascii="Times New Roman" w:hAnsi="Times New Roman" w:eastAsia="宋体" w:cs="Times New Roman"/>
                <w:color w:val="auto"/>
                <w:kern w:val="0"/>
                <w:sz w:val="24"/>
                <w:szCs w:val="24"/>
                <w:lang w:val="en-US" w:eastAsia="zh-CN" w:bidi="ar-SA"/>
              </w:rPr>
              <w:t>4-4</w:t>
            </w:r>
            <w:r>
              <w:rPr>
                <w:rFonts w:hint="default" w:ascii="Times New Roman" w:hAnsi="Times New Roman" w:eastAsia="宋体" w:cs="Times New Roman"/>
                <w:color w:val="auto"/>
                <w:kern w:val="0"/>
                <w:sz w:val="24"/>
                <w:szCs w:val="24"/>
                <w:lang w:val="en-US" w:eastAsia="zh-CN" w:bidi="ar-SA"/>
              </w:rPr>
              <w:t>可知，本项目钻井期间产生的水基钻井岩屑约324.16m</w:t>
            </w:r>
            <w:r>
              <w:rPr>
                <w:rFonts w:hint="default" w:ascii="Times New Roman" w:hAnsi="Times New Roman" w:eastAsia="宋体" w:cs="Times New Roman"/>
                <w:color w:val="auto"/>
                <w:kern w:val="0"/>
                <w:sz w:val="24"/>
                <w:szCs w:val="24"/>
                <w:vertAlign w:val="superscript"/>
                <w:lang w:val="en-US" w:eastAsia="zh-CN" w:bidi="ar-SA"/>
              </w:rPr>
              <w:t>3</w:t>
            </w:r>
            <w:r>
              <w:rPr>
                <w:rFonts w:hint="default" w:ascii="Times New Roman" w:hAnsi="Times New Roman" w:eastAsia="宋体" w:cs="Times New Roman"/>
                <w:color w:val="auto"/>
                <w:kern w:val="0"/>
                <w:sz w:val="24"/>
                <w:szCs w:val="24"/>
                <w:lang w:val="en-US" w:eastAsia="zh-CN" w:bidi="ar-SA"/>
              </w:rPr>
              <w:t>，油基钻井岩屑</w:t>
            </w:r>
            <w:r>
              <w:rPr>
                <w:rFonts w:hint="eastAsia" w:cs="Times New Roman"/>
                <w:color w:val="auto"/>
                <w:kern w:val="0"/>
                <w:sz w:val="24"/>
                <w:szCs w:val="24"/>
                <w:lang w:val="en-US" w:eastAsia="zh-CN" w:bidi="ar-SA"/>
              </w:rPr>
              <w:t>3616.38</w:t>
            </w:r>
            <w:r>
              <w:rPr>
                <w:rFonts w:hint="default" w:ascii="Times New Roman" w:hAnsi="Times New Roman" w:eastAsia="宋体" w:cs="Times New Roman"/>
                <w:color w:val="auto"/>
                <w:kern w:val="0"/>
                <w:sz w:val="24"/>
                <w:szCs w:val="24"/>
                <w:lang w:val="en-US" w:eastAsia="zh-CN" w:bidi="ar-SA"/>
              </w:rPr>
              <w:t>t。</w:t>
            </w:r>
          </w:p>
          <w:p>
            <w:pPr>
              <w:pStyle w:val="10"/>
              <w:ind w:firstLine="480"/>
              <w:rPr>
                <w:rFonts w:hint="eastAsia" w:cs="Times New Roman"/>
                <w:b w:val="0"/>
                <w:bCs w:val="0"/>
                <w:color w:val="auto"/>
                <w:lang w:eastAsia="zh-CN"/>
              </w:rPr>
            </w:pPr>
            <w:r>
              <w:rPr>
                <w:rFonts w:hint="default" w:ascii="Times New Roman" w:hAnsi="Times New Roman" w:cs="Times New Roman"/>
                <w:b w:val="0"/>
                <w:bCs w:val="0"/>
                <w:color w:val="auto"/>
              </w:rPr>
              <w:t>井场设</w:t>
            </w:r>
            <w:r>
              <w:rPr>
                <w:rFonts w:hint="eastAsia" w:cs="Times New Roman"/>
                <w:b w:val="0"/>
                <w:bCs w:val="0"/>
                <w:color w:val="auto"/>
                <w:lang w:val="en-US" w:eastAsia="zh-CN"/>
              </w:rPr>
              <w:t>有</w:t>
            </w:r>
            <w:r>
              <w:rPr>
                <w:rFonts w:hint="default" w:ascii="Times New Roman" w:hAnsi="Times New Roman" w:cs="Times New Roman"/>
                <w:b w:val="0"/>
                <w:bCs w:val="0"/>
                <w:color w:val="auto"/>
              </w:rPr>
              <w:t>钻井液不落地设备，</w:t>
            </w:r>
            <w:r>
              <w:rPr>
                <w:rFonts w:hint="eastAsia" w:cs="Times New Roman"/>
                <w:b w:val="0"/>
                <w:bCs w:val="0"/>
                <w:color w:val="auto"/>
                <w:lang w:val="en-US" w:eastAsia="zh-CN"/>
              </w:rPr>
              <w:t>一开</w:t>
            </w:r>
            <w:r>
              <w:rPr>
                <w:rFonts w:hint="default" w:ascii="Times New Roman" w:hAnsi="Times New Roman" w:cs="Times New Roman"/>
                <w:b w:val="0"/>
                <w:bCs w:val="0"/>
                <w:color w:val="auto"/>
              </w:rPr>
              <w:t>水基钻井</w:t>
            </w:r>
            <w:r>
              <w:rPr>
                <w:rFonts w:hint="eastAsia" w:cs="Times New Roman"/>
                <w:b w:val="0"/>
                <w:bCs w:val="0"/>
                <w:color w:val="auto"/>
                <w:lang w:val="en-US" w:eastAsia="zh-CN"/>
              </w:rPr>
              <w:t>液及</w:t>
            </w:r>
            <w:r>
              <w:rPr>
                <w:rFonts w:hint="default" w:ascii="Times New Roman" w:hAnsi="Times New Roman" w:cs="Times New Roman"/>
                <w:b w:val="0"/>
                <w:bCs w:val="0"/>
                <w:color w:val="auto"/>
              </w:rPr>
              <w:t>岩屑</w:t>
            </w:r>
            <w:r>
              <w:rPr>
                <w:rFonts w:hint="eastAsia" w:cs="Times New Roman"/>
                <w:b w:val="0"/>
                <w:bCs w:val="0"/>
                <w:color w:val="auto"/>
                <w:lang w:val="en-US" w:eastAsia="zh-CN"/>
              </w:rPr>
              <w:t>混合物</w:t>
            </w:r>
            <w:r>
              <w:rPr>
                <w:rFonts w:hint="default" w:ascii="Times New Roman" w:hAnsi="Times New Roman" w:cs="Times New Roman"/>
                <w:b w:val="0"/>
                <w:bCs w:val="0"/>
                <w:color w:val="auto"/>
              </w:rPr>
              <w:t>采用不落地系统进行固液分离处理</w:t>
            </w:r>
            <w:r>
              <w:rPr>
                <w:rFonts w:hint="eastAsia" w:cs="Times New Roman"/>
                <w:b w:val="0"/>
                <w:bCs w:val="0"/>
                <w:color w:val="auto"/>
                <w:lang w:eastAsia="zh-CN"/>
              </w:rPr>
              <w:t>，</w:t>
            </w:r>
            <w:r>
              <w:rPr>
                <w:rFonts w:hint="default" w:ascii="Times New Roman" w:hAnsi="Times New Roman" w:cs="Times New Roman"/>
                <w:b w:val="0"/>
                <w:bCs w:val="0"/>
                <w:color w:val="auto"/>
              </w:rPr>
              <w:t>分离出的液相回用于钻井，分离出的</w:t>
            </w:r>
            <w:r>
              <w:rPr>
                <w:rFonts w:hint="eastAsia" w:ascii="Calibri" w:eastAsia="宋体"/>
                <w:color w:val="auto"/>
                <w:lang w:val="en-US" w:eastAsia="zh-CN"/>
              </w:rPr>
              <w:t>固相为</w:t>
            </w:r>
            <w:r>
              <w:rPr>
                <w:rFonts w:hint="eastAsia" w:ascii="Calibri"/>
                <w:color w:val="auto"/>
                <w:lang w:val="en-US" w:eastAsia="zh-CN"/>
              </w:rPr>
              <w:t>水基泥浆</w:t>
            </w:r>
            <w:r>
              <w:rPr>
                <w:rFonts w:hint="eastAsia" w:ascii="Calibri" w:eastAsia="宋体"/>
                <w:color w:val="auto"/>
                <w:lang w:val="en-US" w:eastAsia="zh-CN"/>
              </w:rPr>
              <w:t>及岩屑混合物</w:t>
            </w:r>
            <w:r>
              <w:rPr>
                <w:rFonts w:hint="eastAsia" w:ascii="Calibri"/>
                <w:color w:val="auto"/>
                <w:lang w:val="en-US" w:eastAsia="zh-CN"/>
              </w:rPr>
              <w:t>，</w:t>
            </w:r>
            <w:r>
              <w:rPr>
                <w:rFonts w:hint="eastAsia" w:ascii="Times New Roman" w:hAnsi="Times New Roman" w:eastAsia="宋体" w:cs="Times New Roman"/>
                <w:b w:val="0"/>
                <w:bCs w:val="0"/>
                <w:color w:val="auto"/>
                <w:highlight w:val="none"/>
                <w:lang w:val="en-US" w:eastAsia="zh-CN"/>
              </w:rPr>
              <w:t>根据</w:t>
            </w:r>
            <w:r>
              <w:rPr>
                <w:rFonts w:hint="default" w:ascii="Times New Roman" w:hAnsi="Times New Roman" w:eastAsia="宋体" w:cs="Times New Roman"/>
                <w:b w:val="0"/>
                <w:bCs w:val="0"/>
                <w:color w:val="auto"/>
                <w:highlight w:val="none"/>
              </w:rPr>
              <w:t>《固体废物分类与代码目录（2024年版）》</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lang w:val="en-US" w:eastAsia="zh-CN"/>
              </w:rPr>
              <w:t>钻井岩屑是指“</w:t>
            </w:r>
            <w:r>
              <w:rPr>
                <w:rFonts w:hint="eastAsia" w:ascii="Times New Roman" w:hAnsi="Times New Roman" w:eastAsia="宋体" w:cs="Times New Roman"/>
                <w:b w:val="0"/>
                <w:bCs w:val="0"/>
                <w:color w:val="auto"/>
                <w:highlight w:val="none"/>
                <w:lang w:eastAsia="zh-CN"/>
              </w:rPr>
              <w:t>以水为连续相配制钻井泥浆用于石油开采所产生的废弃钻井岩屑和泥浆</w:t>
            </w:r>
            <w:r>
              <w:rPr>
                <w:rFonts w:hint="eastAsia" w:cs="Times New Roman"/>
                <w:b w:val="0"/>
                <w:bCs w:val="0"/>
                <w:color w:val="auto"/>
                <w:highlight w:val="none"/>
                <w:lang w:eastAsia="zh-CN"/>
              </w:rPr>
              <w:t>（</w:t>
            </w:r>
            <w:r>
              <w:rPr>
                <w:rFonts w:hint="eastAsia" w:ascii="Times New Roman" w:hAnsi="Times New Roman" w:eastAsia="宋体" w:cs="Times New Roman"/>
                <w:b w:val="0"/>
                <w:bCs w:val="0"/>
                <w:color w:val="auto"/>
                <w:highlight w:val="none"/>
                <w:lang w:eastAsia="zh-CN"/>
              </w:rPr>
              <w:t>不包括废弃聚磺体系泥浆</w:t>
            </w:r>
            <w:r>
              <w:rPr>
                <w:rFonts w:hint="eastAsia" w:cs="Times New Roman"/>
                <w:b w:val="0"/>
                <w:bCs w:val="0"/>
                <w:color w:val="auto"/>
                <w:highlight w:val="none"/>
                <w:lang w:eastAsia="zh-CN"/>
              </w:rPr>
              <w:t>）</w:t>
            </w:r>
            <w:r>
              <w:rPr>
                <w:rFonts w:hint="eastAsia" w:ascii="Times New Roman" w:hAnsi="Times New Roman" w:eastAsia="宋体" w:cs="Times New Roman"/>
                <w:b w:val="0"/>
                <w:bCs w:val="0"/>
                <w:color w:val="auto"/>
                <w:highlight w:val="none"/>
                <w:lang w:val="en-US" w:eastAsia="zh-CN"/>
              </w:rPr>
              <w:t>”</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lang w:val="en-US" w:eastAsia="zh-CN"/>
              </w:rPr>
              <w:t>废物类别为</w:t>
            </w:r>
            <w:r>
              <w:rPr>
                <w:rFonts w:hint="eastAsia" w:ascii="Times New Roman" w:hAnsi="Times New Roman" w:eastAsia="宋体" w:cs="Times New Roman"/>
                <w:b w:val="0"/>
                <w:bCs w:val="0"/>
                <w:color w:val="auto"/>
                <w:highlight w:val="none"/>
                <w:lang w:eastAsia="zh-CN"/>
              </w:rPr>
              <w:t>“</w:t>
            </w:r>
            <w:r>
              <w:rPr>
                <w:rFonts w:hint="eastAsia" w:ascii="Times New Roman" w:hAnsi="Times New Roman" w:eastAsia="宋体" w:cs="Times New Roman"/>
                <w:b w:val="0"/>
                <w:bCs w:val="0"/>
                <w:color w:val="auto"/>
                <w:highlight w:val="none"/>
                <w:lang w:val="en-US" w:eastAsia="zh-CN"/>
              </w:rPr>
              <w:t>SW12 钻井岩屑”，废物代码：071-001-S12。本项目</w:t>
            </w:r>
            <w:r>
              <w:rPr>
                <w:rFonts w:hint="eastAsia" w:cs="Times New Roman"/>
                <w:b w:val="0"/>
                <w:bCs w:val="0"/>
                <w:color w:val="auto"/>
                <w:lang w:val="en-US" w:eastAsia="zh-CN"/>
              </w:rPr>
              <w:t>水基岩屑</w:t>
            </w:r>
            <w:r>
              <w:rPr>
                <w:rFonts w:hint="default" w:ascii="Times New Roman" w:hAnsi="Times New Roman" w:cs="Times New Roman"/>
                <w:b w:val="0"/>
                <w:bCs w:val="0"/>
                <w:color w:val="auto"/>
              </w:rPr>
              <w:t>产生量为</w:t>
            </w:r>
            <w:r>
              <w:rPr>
                <w:rFonts w:hint="eastAsia" w:ascii="Times New Roman" w:eastAsia="宋体"/>
                <w:color w:val="auto"/>
                <w:lang w:val="en-US" w:eastAsia="zh-CN"/>
              </w:rPr>
              <w:t>324.16</w:t>
            </w:r>
            <w:r>
              <w:rPr>
                <w:rFonts w:hint="default" w:ascii="Times New Roman" w:hAnsi="Times New Roman" w:cs="Times New Roman"/>
                <w:b w:val="0"/>
                <w:bCs w:val="0"/>
                <w:color w:val="auto"/>
              </w:rPr>
              <w:t>m</w:t>
            </w:r>
            <w:r>
              <w:rPr>
                <w:rFonts w:hint="default" w:ascii="Times New Roman" w:hAnsi="Times New Roman" w:cs="Times New Roman"/>
                <w:b w:val="0"/>
                <w:bCs w:val="0"/>
                <w:color w:val="auto"/>
                <w:vertAlign w:val="superscript"/>
              </w:rPr>
              <w:t>3</w:t>
            </w:r>
            <w:r>
              <w:rPr>
                <w:rFonts w:hint="eastAsia" w:cs="Times New Roman"/>
                <w:b w:val="0"/>
                <w:bCs w:val="0"/>
                <w:color w:val="auto"/>
                <w:vertAlign w:val="baseline"/>
                <w:lang w:eastAsia="zh-CN"/>
              </w:rPr>
              <w:t>，</w:t>
            </w:r>
            <w:r>
              <w:rPr>
                <w:rFonts w:hint="default" w:ascii="Times New Roman" w:hAnsi="Times New Roman" w:cs="Times New Roman"/>
                <w:b w:val="0"/>
                <w:bCs w:val="0"/>
                <w:color w:val="auto"/>
              </w:rPr>
              <w:t>暂存于</w:t>
            </w:r>
            <w:r>
              <w:rPr>
                <w:rFonts w:hint="eastAsia" w:cs="Times New Roman"/>
                <w:b w:val="0"/>
                <w:bCs w:val="0"/>
                <w:color w:val="auto"/>
                <w:lang w:val="en-US" w:eastAsia="zh-CN"/>
              </w:rPr>
              <w:t>井场</w:t>
            </w:r>
            <w:r>
              <w:rPr>
                <w:rFonts w:hint="default" w:ascii="Times New Roman" w:hAnsi="Times New Roman" w:cs="Times New Roman"/>
                <w:b w:val="0"/>
                <w:bCs w:val="0"/>
                <w:color w:val="auto"/>
              </w:rPr>
              <w:t>水基钻井岩屑方罐中，由岩屑处置单位直接拉运进行处理，满足《油气田钻井固体废物综合利用污染控制要求》（DB65/T3997-2017）相关要求后可进行综合利用</w:t>
            </w:r>
            <w:r>
              <w:rPr>
                <w:rFonts w:hint="eastAsia" w:cs="Times New Roman"/>
                <w:b w:val="0"/>
                <w:bCs w:val="0"/>
                <w:color w:val="auto"/>
                <w:lang w:eastAsia="zh-CN"/>
              </w:rPr>
              <w:t>；</w:t>
            </w:r>
          </w:p>
          <w:p>
            <w:pPr>
              <w:pStyle w:val="10"/>
              <w:ind w:firstLine="480"/>
              <w:rPr>
                <w:rFonts w:hint="default" w:cs="Times New Roman"/>
                <w:b w:val="0"/>
                <w:bCs w:val="0"/>
                <w:color w:val="auto"/>
                <w:lang w:val="en-US" w:eastAsia="zh-CN"/>
              </w:rPr>
            </w:pPr>
            <w:r>
              <w:rPr>
                <w:rFonts w:hint="eastAsia" w:cs="Times New Roman"/>
                <w:b w:val="0"/>
                <w:bCs w:val="0"/>
                <w:color w:val="auto"/>
                <w:lang w:val="en-US" w:eastAsia="zh-CN"/>
              </w:rPr>
              <w:t>二开、三开油</w:t>
            </w:r>
            <w:r>
              <w:rPr>
                <w:rFonts w:hint="default" w:ascii="Times New Roman" w:hAnsi="Times New Roman" w:cs="Times New Roman"/>
                <w:b w:val="0"/>
                <w:bCs w:val="0"/>
                <w:color w:val="auto"/>
              </w:rPr>
              <w:t>基钻井</w:t>
            </w:r>
            <w:r>
              <w:rPr>
                <w:rFonts w:hint="eastAsia" w:cs="Times New Roman"/>
                <w:b w:val="0"/>
                <w:bCs w:val="0"/>
                <w:color w:val="auto"/>
                <w:lang w:val="en-US" w:eastAsia="zh-CN"/>
              </w:rPr>
              <w:t>液及</w:t>
            </w:r>
            <w:r>
              <w:rPr>
                <w:rFonts w:hint="default" w:ascii="Times New Roman" w:hAnsi="Times New Roman" w:cs="Times New Roman"/>
                <w:b w:val="0"/>
                <w:bCs w:val="0"/>
                <w:color w:val="auto"/>
              </w:rPr>
              <w:t>岩屑</w:t>
            </w:r>
            <w:r>
              <w:rPr>
                <w:rFonts w:hint="eastAsia" w:cs="Times New Roman"/>
                <w:b w:val="0"/>
                <w:bCs w:val="0"/>
                <w:color w:val="auto"/>
                <w:lang w:val="en-US" w:eastAsia="zh-CN"/>
              </w:rPr>
              <w:t>混合物</w:t>
            </w:r>
            <w:r>
              <w:rPr>
                <w:rFonts w:hint="default" w:ascii="Times New Roman" w:hAnsi="Times New Roman" w:cs="Times New Roman"/>
                <w:b w:val="0"/>
                <w:bCs w:val="0"/>
                <w:color w:val="auto"/>
              </w:rPr>
              <w:t>采用不落地系统进行固液分离处理</w:t>
            </w:r>
            <w:r>
              <w:rPr>
                <w:rFonts w:hint="eastAsia" w:cs="Times New Roman"/>
                <w:b w:val="0"/>
                <w:bCs w:val="0"/>
                <w:color w:val="auto"/>
                <w:lang w:eastAsia="zh-CN"/>
              </w:rPr>
              <w:t>，</w:t>
            </w:r>
            <w:r>
              <w:rPr>
                <w:rFonts w:hint="eastAsia" w:cs="Times New Roman"/>
                <w:b w:val="0"/>
                <w:bCs w:val="0"/>
                <w:color w:val="auto"/>
                <w:lang w:val="en-US" w:eastAsia="zh-CN"/>
              </w:rPr>
              <w:t>分离出的油基钻井液循环利用于钻井，</w:t>
            </w:r>
            <w:bookmarkStart w:id="95" w:name="_Hlk186376309"/>
            <w:r>
              <w:rPr>
                <w:rFonts w:hint="eastAsia" w:cs="Times New Roman"/>
                <w:b w:val="0"/>
                <w:bCs w:val="0"/>
                <w:color w:val="auto"/>
                <w:lang w:val="en-US" w:eastAsia="zh-CN"/>
              </w:rPr>
              <w:t>分离出的油基钻井岩屑体积</w:t>
            </w:r>
            <w:r>
              <w:rPr>
                <w:rFonts w:hint="eastAsia" w:cs="Times New Roman"/>
                <w:b w:val="0"/>
                <w:bCs w:val="0"/>
                <w:color w:val="auto"/>
                <w:vertAlign w:val="baseline"/>
                <w:lang w:val="en-US" w:eastAsia="zh-CN"/>
              </w:rPr>
              <w:t>合计1446.55</w:t>
            </w:r>
            <w:r>
              <w:rPr>
                <w:rFonts w:hint="default" w:ascii="Times New Roman" w:hAnsi="Times New Roman" w:cs="Times New Roman"/>
                <w:b w:val="0"/>
                <w:bCs w:val="0"/>
                <w:color w:val="auto"/>
              </w:rPr>
              <w:t>m</w:t>
            </w:r>
            <w:r>
              <w:rPr>
                <w:rFonts w:hint="default" w:ascii="Times New Roman" w:hAnsi="Times New Roman" w:cs="Times New Roman"/>
                <w:b w:val="0"/>
                <w:bCs w:val="0"/>
                <w:color w:val="auto"/>
                <w:vertAlign w:val="superscript"/>
              </w:rPr>
              <w:t>3</w:t>
            </w:r>
            <w:r>
              <w:rPr>
                <w:rFonts w:hint="eastAsia" w:cs="Times New Roman"/>
                <w:b w:val="0"/>
                <w:bCs w:val="0"/>
                <w:color w:val="auto"/>
                <w:vertAlign w:val="baseline"/>
                <w:lang w:eastAsia="zh-CN"/>
              </w:rPr>
              <w:t>，</w:t>
            </w:r>
            <w:r>
              <w:rPr>
                <w:rFonts w:hint="eastAsia" w:cs="Times New Roman"/>
                <w:b w:val="0"/>
                <w:bCs w:val="0"/>
                <w:color w:val="auto"/>
                <w:lang w:val="en-US" w:eastAsia="zh-CN"/>
              </w:rPr>
              <w:t>质量为3616.38t。油基钻井岩屑属于</w:t>
            </w:r>
            <w:r>
              <w:rPr>
                <w:rFonts w:hint="eastAsia" w:cs="宋体"/>
                <w:color w:val="auto"/>
              </w:rPr>
              <w:t>《国</w:t>
            </w:r>
            <w:bookmarkStart w:id="96" w:name="OLE_LINK27"/>
            <w:r>
              <w:rPr>
                <w:rFonts w:hint="eastAsia" w:cs="宋体"/>
                <w:color w:val="auto"/>
              </w:rPr>
              <w:t>家危险废物名</w:t>
            </w:r>
            <w:bookmarkEnd w:id="96"/>
            <w:r>
              <w:rPr>
                <w:rFonts w:hint="eastAsia" w:cs="宋体"/>
                <w:color w:val="auto"/>
              </w:rPr>
              <w:t>录（2025年版）》HW08类危险废物（废物代码：071-002-08，危险特性：毒性</w:t>
            </w:r>
            <w:r>
              <w:rPr>
                <w:rFonts w:hint="eastAsia" w:cs="宋体"/>
                <w:color w:val="auto"/>
                <w:lang w:eastAsia="zh-CN"/>
              </w:rPr>
              <w:t>），</w:t>
            </w:r>
            <w:r>
              <w:rPr>
                <w:rFonts w:hint="eastAsia" w:cs="Times New Roman"/>
                <w:b w:val="0"/>
                <w:bCs w:val="0"/>
                <w:color w:val="auto"/>
                <w:lang w:val="en-US" w:eastAsia="zh-CN"/>
              </w:rPr>
              <w:t>直接进油基钻井岩屑方罐，由具有相应危废资质单位接收、转运和处置。</w:t>
            </w:r>
          </w:p>
          <w:bookmarkEnd w:id="95"/>
          <w:p>
            <w:pPr>
              <w:pStyle w:val="10"/>
              <w:bidi w:val="0"/>
              <w:rPr>
                <w:rFonts w:hint="default"/>
                <w:color w:val="auto"/>
              </w:rPr>
            </w:pPr>
            <w:r>
              <w:rPr>
                <w:rFonts w:hint="default"/>
                <w:color w:val="auto"/>
              </w:rPr>
              <w:t>（2）沾油废防渗材料</w:t>
            </w:r>
          </w:p>
          <w:p>
            <w:pPr>
              <w:pStyle w:val="10"/>
              <w:bidi w:val="0"/>
              <w:rPr>
                <w:rFonts w:hint="default"/>
                <w:color w:val="auto"/>
              </w:rPr>
            </w:pPr>
            <w:r>
              <w:rPr>
                <w:rFonts w:hint="default"/>
                <w:color w:val="auto"/>
              </w:rPr>
              <w:t>施工结束对场地进行清理时，会产生一定的废防渗材料，未沾油防渗材料由施工单位集中回收利用，沾油废防渗材料属于《国家危险废物名录（2025年版）》中的HW08废矿物油与含矿物油类危险废物（废物代码为900-249-08，危险特性为毒性和易燃性），</w:t>
            </w:r>
            <w:r>
              <w:rPr>
                <w:rFonts w:hint="eastAsia"/>
                <w:color w:val="auto"/>
                <w:lang w:val="en-US" w:eastAsia="zh-CN"/>
              </w:rPr>
              <w:t>预估产生量约1.0t，</w:t>
            </w:r>
            <w:r>
              <w:rPr>
                <w:rFonts w:hint="default"/>
                <w:color w:val="auto"/>
              </w:rPr>
              <w:t>分区暂存在井场设置的危险废物贮存点，定期由具有相应危险废物资质的单位进行接收、转运和处置。</w:t>
            </w:r>
          </w:p>
          <w:p>
            <w:pPr>
              <w:pStyle w:val="10"/>
              <w:bidi w:val="0"/>
              <w:rPr>
                <w:rFonts w:hint="default"/>
                <w:color w:val="auto"/>
              </w:rPr>
            </w:pPr>
            <w:r>
              <w:rPr>
                <w:rFonts w:hint="default"/>
                <w:color w:val="auto"/>
              </w:rPr>
              <w:t>（3）废润滑油及废润滑油桶</w:t>
            </w:r>
          </w:p>
          <w:p>
            <w:pPr>
              <w:pStyle w:val="10"/>
              <w:bidi w:val="0"/>
              <w:rPr>
                <w:rFonts w:hint="default"/>
                <w:color w:val="auto"/>
              </w:rPr>
            </w:pPr>
            <w:bookmarkStart w:id="97" w:name="_Hlk143012744"/>
            <w:r>
              <w:rPr>
                <w:rFonts w:hint="default"/>
                <w:color w:val="auto"/>
              </w:rPr>
              <w:t>施工过程中，若遇到机械、设备需要检修与维护的情况会产生一定量的废润滑油及废润滑油桶，属于间歇</w:t>
            </w:r>
            <w:r>
              <w:rPr>
                <w:rFonts w:hint="eastAsia"/>
                <w:color w:val="auto"/>
                <w:lang w:eastAsia="zh-CN"/>
              </w:rPr>
              <w:t>产物，</w:t>
            </w:r>
            <w:r>
              <w:rPr>
                <w:rFonts w:hint="eastAsia"/>
                <w:color w:val="auto"/>
                <w:lang w:val="en-US" w:eastAsia="zh-CN"/>
              </w:rPr>
              <w:t>预估产生量约0.5t</w:t>
            </w:r>
            <w:r>
              <w:rPr>
                <w:rFonts w:hint="default"/>
                <w:color w:val="auto"/>
              </w:rPr>
              <w:t>。废润滑油、废润滑油桶均属于《国家危险废物名录（2025年版）》中的HW08废矿物油与含矿物油类危险废物，废物代码分别为900-214-08（危险特性：毒性、易燃性）、900-249-08（危险特性：毒性、易燃性），分区暂存在井场设置的危险废物贮存点，定期由具有相应危险废物处置资质的单位进行接收、转运和处置。</w:t>
            </w:r>
          </w:p>
          <w:bookmarkEnd w:id="97"/>
          <w:p>
            <w:pPr>
              <w:pStyle w:val="10"/>
              <w:bidi w:val="0"/>
              <w:rPr>
                <w:rFonts w:hint="default"/>
                <w:color w:val="auto"/>
              </w:rPr>
            </w:pPr>
            <w:r>
              <w:rPr>
                <w:rFonts w:hint="default"/>
                <w:color w:val="auto"/>
              </w:rPr>
              <w:t>（4）生活垃圾</w:t>
            </w:r>
          </w:p>
          <w:p>
            <w:pPr>
              <w:pStyle w:val="10"/>
              <w:bidi w:val="0"/>
              <w:rPr>
                <w:rFonts w:hint="default" w:eastAsia="宋体"/>
                <w:color w:val="auto"/>
                <w:lang w:val="en-US" w:eastAsia="zh-CN"/>
              </w:rPr>
            </w:pPr>
            <w:r>
              <w:rPr>
                <w:rFonts w:hint="default"/>
                <w:color w:val="auto"/>
              </w:rPr>
              <w:t>施工期生活垃圾产生量按0.</w:t>
            </w:r>
            <w:r>
              <w:rPr>
                <w:rFonts w:hint="eastAsia"/>
                <w:color w:val="auto"/>
                <w:lang w:val="en-US" w:eastAsia="zh-CN"/>
              </w:rPr>
              <w:t>5</w:t>
            </w:r>
            <w:r>
              <w:rPr>
                <w:rFonts w:hint="default"/>
                <w:color w:val="auto"/>
              </w:rPr>
              <w:t>kg/人·d计算，则施工期间生活垃圾产生量约</w:t>
            </w:r>
            <w:r>
              <w:rPr>
                <w:rFonts w:hint="eastAsia"/>
                <w:color w:val="auto"/>
                <w:lang w:val="en-US" w:eastAsia="zh-CN"/>
              </w:rPr>
              <w:t>0.91</w:t>
            </w:r>
            <w:r>
              <w:rPr>
                <w:rFonts w:hint="default"/>
                <w:color w:val="auto"/>
              </w:rPr>
              <w:t>t，生活垃圾由垃圾箱收集，定期委托清运至</w:t>
            </w:r>
            <w:r>
              <w:rPr>
                <w:rFonts w:hint="eastAsia"/>
                <w:color w:val="auto"/>
                <w:lang w:eastAsia="zh-CN"/>
              </w:rPr>
              <w:t>呼图壁县生活垃圾填埋场</w:t>
            </w:r>
            <w:r>
              <w:rPr>
                <w:rFonts w:hint="default"/>
                <w:color w:val="auto"/>
              </w:rPr>
              <w:t>进行处理。</w:t>
            </w:r>
            <w:r>
              <w:rPr>
                <w:rFonts w:hint="eastAsia"/>
                <w:color w:val="auto"/>
                <w:lang w:val="en-US" w:eastAsia="zh-CN"/>
              </w:rPr>
              <w:t>运距约87km。</w:t>
            </w:r>
          </w:p>
          <w:p>
            <w:pPr>
              <w:pStyle w:val="10"/>
              <w:ind w:firstLine="480"/>
              <w:rPr>
                <w:rFonts w:hint="eastAsia" w:ascii="Times New Roman" w:hAnsi="Times New Roman" w:eastAsia="宋体" w:cs="Times New Roman"/>
                <w:b w:val="0"/>
                <w:bCs w:val="0"/>
                <w:color w:val="auto"/>
              </w:rPr>
            </w:pPr>
            <w:r>
              <w:rPr>
                <w:rFonts w:hint="default" w:ascii="Times New Roman" w:hAnsi="Times New Roman" w:eastAsia="宋体" w:cs="Times New Roman"/>
                <w:b w:val="0"/>
                <w:bCs w:val="0"/>
                <w:color w:val="auto"/>
                <w:lang w:val="en-US" w:eastAsia="en-US"/>
              </w:rPr>
              <w:t>（</w:t>
            </w:r>
            <w:r>
              <w:rPr>
                <w:rFonts w:hint="eastAsia" w:ascii="Times New Roman" w:hAnsi="Times New Roman" w:eastAsia="宋体" w:cs="Times New Roman"/>
                <w:b w:val="0"/>
                <w:bCs w:val="0"/>
                <w:color w:val="auto"/>
                <w:lang w:val="en-US" w:eastAsia="zh-CN"/>
              </w:rPr>
              <w:t>5</w:t>
            </w:r>
            <w:r>
              <w:rPr>
                <w:rFonts w:hint="default" w:ascii="Times New Roman" w:hAnsi="Times New Roman" w:eastAsia="宋体" w:cs="Times New Roman"/>
                <w:b w:val="0"/>
                <w:bCs w:val="0"/>
                <w:color w:val="auto"/>
                <w:lang w:val="en-US" w:eastAsia="en-US"/>
              </w:rPr>
              <w:t>）</w:t>
            </w:r>
            <w:r>
              <w:rPr>
                <w:rFonts w:hint="eastAsia" w:ascii="Times New Roman" w:hAnsi="Times New Roman" w:eastAsia="宋体" w:cs="Times New Roman"/>
                <w:b w:val="0"/>
                <w:bCs w:val="0"/>
                <w:color w:val="auto"/>
              </w:rPr>
              <w:t>建筑垃圾</w:t>
            </w:r>
          </w:p>
          <w:p>
            <w:pPr>
              <w:pStyle w:val="10"/>
              <w:ind w:firstLine="480"/>
              <w:rPr>
                <w:rFonts w:hint="default" w:ascii="Times New Roman" w:hAnsi="Times New Roman" w:eastAsia="宋体" w:cs="Times New Roman"/>
                <w:b w:val="0"/>
                <w:bCs w:val="0"/>
                <w:color w:val="auto"/>
                <w:lang w:val="en-US" w:eastAsia="zh-CN"/>
              </w:rPr>
            </w:pPr>
            <w:r>
              <w:rPr>
                <w:rFonts w:hint="eastAsia" w:ascii="Times New Roman" w:hAnsi="Times New Roman" w:eastAsia="宋体" w:cs="Times New Roman"/>
                <w:b w:val="0"/>
                <w:bCs w:val="0"/>
                <w:color w:val="auto"/>
              </w:rPr>
              <w:t>建筑垃圾主要为</w:t>
            </w:r>
            <w:r>
              <w:rPr>
                <w:rFonts w:hint="eastAsia" w:cs="Times New Roman"/>
                <w:b w:val="0"/>
                <w:bCs w:val="0"/>
                <w:color w:val="auto"/>
                <w:lang w:val="en-US" w:eastAsia="zh-CN"/>
              </w:rPr>
              <w:t>建设过程中产生的</w:t>
            </w:r>
            <w:r>
              <w:rPr>
                <w:rFonts w:hint="eastAsia" w:ascii="Times New Roman" w:hAnsi="Times New Roman" w:eastAsia="宋体" w:cs="Times New Roman"/>
                <w:b w:val="0"/>
                <w:bCs w:val="0"/>
                <w:color w:val="auto"/>
              </w:rPr>
              <w:t>废边角料等，产生量较少，集中收集后送至当地建筑垃圾填埋场。</w:t>
            </w:r>
            <w:r>
              <w:rPr>
                <w:rFonts w:hint="eastAsia" w:cs="Times New Roman"/>
                <w:b w:val="0"/>
                <w:bCs w:val="0"/>
                <w:color w:val="auto"/>
                <w:lang w:val="en-US" w:eastAsia="zh-CN"/>
              </w:rPr>
              <w:t>项目土石方全部回填或综合利用，无弃方产生。土石方平衡如下：</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00" w:lineRule="exact"/>
              <w:ind w:firstLine="480" w:firstLineChars="200"/>
              <w:jc w:val="both"/>
              <w:textAlignment w:val="auto"/>
              <w:rPr>
                <w:rFonts w:hint="eastAsia" w:ascii="Times New Roman" w:hAnsi="Times New Roman" w:eastAsia="宋体" w:cs="Times New Roman"/>
                <w:bCs w:val="0"/>
                <w:color w:val="auto"/>
                <w:sz w:val="24"/>
                <w:szCs w:val="24"/>
                <w:highlight w:val="none"/>
                <w:lang w:val="en-US" w:eastAsia="zh-CN" w:bidi="ar-SA"/>
              </w:rPr>
            </w:pPr>
            <w:r>
              <w:rPr>
                <w:rFonts w:hint="eastAsia" w:ascii="Times New Roman" w:hAnsi="Times New Roman" w:eastAsia="宋体" w:cs="Times New Roman"/>
                <w:bCs w:val="0"/>
                <w:color w:val="auto"/>
                <w:sz w:val="24"/>
                <w:szCs w:val="24"/>
                <w:highlight w:val="none"/>
                <w:lang w:val="en-US" w:eastAsia="zh-CN" w:bidi="ar-SA"/>
              </w:rPr>
              <w:t>项目钻前工程对井场、道路和生活营地进行平整，总面积为</w:t>
            </w:r>
            <w:r>
              <w:rPr>
                <w:rFonts w:hint="default"/>
                <w:bCs/>
                <w:color w:val="auto"/>
                <w:highlight w:val="none"/>
                <w:lang w:val="en-US" w:eastAsia="zh-CN"/>
              </w:rPr>
              <w:t>16829</w:t>
            </w:r>
            <w:r>
              <w:rPr>
                <w:rFonts w:hint="eastAsia" w:ascii="Times New Roman" w:hAnsi="Times New Roman" w:eastAsia="宋体" w:cs="Times New Roman"/>
                <w:bCs w:val="0"/>
                <w:color w:val="auto"/>
                <w:sz w:val="24"/>
                <w:szCs w:val="24"/>
                <w:highlight w:val="none"/>
                <w:lang w:val="en-US" w:eastAsia="zh-CN" w:bidi="ar-SA"/>
              </w:rPr>
              <w:t>m</w:t>
            </w:r>
            <w:r>
              <w:rPr>
                <w:rFonts w:hint="eastAsia" w:ascii="Times New Roman" w:hAnsi="Times New Roman" w:eastAsia="宋体" w:cs="Times New Roman"/>
                <w:bCs w:val="0"/>
                <w:color w:val="auto"/>
                <w:sz w:val="24"/>
                <w:szCs w:val="24"/>
                <w:highlight w:val="none"/>
                <w:vertAlign w:val="superscript"/>
                <w:lang w:val="en-US" w:eastAsia="zh-CN" w:bidi="ar-SA"/>
              </w:rPr>
              <w:t>2</w:t>
            </w:r>
            <w:r>
              <w:rPr>
                <w:rFonts w:hint="eastAsia" w:ascii="Times New Roman" w:hAnsi="Times New Roman" w:eastAsia="宋体" w:cs="Times New Roman"/>
                <w:bCs w:val="0"/>
                <w:color w:val="auto"/>
                <w:sz w:val="24"/>
                <w:szCs w:val="24"/>
                <w:highlight w:val="none"/>
                <w:lang w:val="en-US" w:eastAsia="zh-CN" w:bidi="ar-SA"/>
              </w:rPr>
              <w:t>，由于项目利用前期老井用地，场地已平整，本次清理土方量较少，平均挖填深度为0.1m，则开挖土方量为</w:t>
            </w:r>
            <w:r>
              <w:rPr>
                <w:rFonts w:hint="eastAsia" w:ascii="Times New Roman" w:hAnsi="Times New Roman" w:eastAsia="宋体" w:cs="Times New Roman"/>
                <w:bCs w:val="0"/>
                <w:color w:val="auto"/>
                <w:highlight w:val="none"/>
                <w:lang w:val="en-US" w:eastAsia="zh-CN"/>
              </w:rPr>
              <w:t>1682.9</w:t>
            </w:r>
            <w:r>
              <w:rPr>
                <w:rFonts w:hint="eastAsia" w:ascii="Times New Roman" w:hAnsi="Times New Roman" w:eastAsia="宋体" w:cs="Times New Roman"/>
                <w:bCs w:val="0"/>
                <w:color w:val="auto"/>
                <w:sz w:val="24"/>
                <w:szCs w:val="24"/>
                <w:highlight w:val="none"/>
                <w:lang w:val="en-US" w:eastAsia="zh-CN" w:bidi="ar-SA"/>
              </w:rPr>
              <w:t>m</w:t>
            </w:r>
            <w:r>
              <w:rPr>
                <w:rFonts w:hint="eastAsia" w:ascii="Times New Roman" w:hAnsi="Times New Roman" w:eastAsia="宋体" w:cs="Times New Roman"/>
                <w:bCs w:val="0"/>
                <w:color w:val="auto"/>
                <w:sz w:val="24"/>
                <w:szCs w:val="24"/>
                <w:highlight w:val="none"/>
                <w:vertAlign w:val="superscript"/>
                <w:lang w:val="en-US" w:eastAsia="zh-CN" w:bidi="ar-SA"/>
              </w:rPr>
              <w:t>3</w:t>
            </w:r>
            <w:r>
              <w:rPr>
                <w:rFonts w:hint="eastAsia" w:ascii="Times New Roman" w:hAnsi="Times New Roman" w:eastAsia="宋体" w:cs="Times New Roman"/>
                <w:bCs w:val="0"/>
                <w:color w:val="auto"/>
                <w:sz w:val="24"/>
                <w:szCs w:val="24"/>
                <w:highlight w:val="none"/>
                <w:lang w:val="en-US" w:eastAsia="zh-CN" w:bidi="ar-SA"/>
              </w:rPr>
              <w:t>，全部用于场地回填、平整，无弃方产生。</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500" w:lineRule="exact"/>
              <w:ind w:left="0" w:right="0" w:firstLine="480" w:firstLineChars="200"/>
              <w:jc w:val="both"/>
              <w:textAlignment w:val="auto"/>
              <w:rPr>
                <w:rFonts w:hint="eastAsia" w:ascii="Times New Roman" w:hAnsi="Times New Roman" w:eastAsia="宋体" w:cs="Times New Roman"/>
                <w:bCs w:val="0"/>
                <w:color w:val="auto"/>
                <w:sz w:val="24"/>
                <w:highlight w:val="none"/>
                <w:lang w:val="en-US" w:eastAsia="zh-CN"/>
              </w:rPr>
            </w:pPr>
            <w:r>
              <w:rPr>
                <w:rFonts w:hint="eastAsia" w:ascii="Times New Roman" w:hAnsi="Times New Roman" w:eastAsia="宋体" w:cs="Times New Roman"/>
                <w:bCs w:val="0"/>
                <w:color w:val="auto"/>
                <w:sz w:val="24"/>
                <w:szCs w:val="24"/>
                <w:highlight w:val="none"/>
                <w:lang w:val="en-US" w:eastAsia="zh-CN" w:bidi="ar-SA"/>
              </w:rPr>
              <w:t>项目</w:t>
            </w:r>
            <w:r>
              <w:rPr>
                <w:rFonts w:hint="eastAsia" w:cs="Times New Roman"/>
                <w:bCs w:val="0"/>
                <w:color w:val="auto"/>
                <w:sz w:val="24"/>
                <w:szCs w:val="24"/>
                <w:highlight w:val="none"/>
                <w:lang w:val="en-US" w:eastAsia="zh-CN" w:bidi="ar-SA"/>
              </w:rPr>
              <w:t>外购</w:t>
            </w:r>
            <w:r>
              <w:rPr>
                <w:rFonts w:hint="eastAsia" w:ascii="Times New Roman" w:hAnsi="Times New Roman" w:eastAsia="宋体" w:cs="Times New Roman"/>
                <w:bCs w:val="0"/>
                <w:color w:val="auto"/>
                <w:sz w:val="24"/>
                <w:szCs w:val="24"/>
                <w:highlight w:val="none"/>
                <w:lang w:val="en-US" w:eastAsia="zh-CN" w:bidi="ar-SA"/>
              </w:rPr>
              <w:t>砂砾石对本项目井场、生活区和道路进行铺垫，铺垫厚度为0.1m，则砂砾石量为</w:t>
            </w:r>
            <w:r>
              <w:rPr>
                <w:rFonts w:hint="eastAsia" w:ascii="Times New Roman" w:hAnsi="Times New Roman" w:eastAsia="宋体" w:cs="Times New Roman"/>
                <w:bCs w:val="0"/>
                <w:color w:val="auto"/>
                <w:highlight w:val="none"/>
                <w:lang w:val="en-US" w:eastAsia="zh-CN"/>
              </w:rPr>
              <w:t>1682.9</w:t>
            </w:r>
            <w:r>
              <w:rPr>
                <w:rFonts w:hint="eastAsia" w:ascii="Times New Roman" w:hAnsi="Times New Roman" w:eastAsia="宋体" w:cs="Times New Roman"/>
                <w:bCs w:val="0"/>
                <w:color w:val="auto"/>
                <w:sz w:val="24"/>
                <w:szCs w:val="24"/>
                <w:highlight w:val="none"/>
                <w:lang w:val="en-US" w:eastAsia="zh-CN" w:bidi="ar-SA"/>
              </w:rPr>
              <w:t>m</w:t>
            </w:r>
            <w:r>
              <w:rPr>
                <w:rFonts w:hint="eastAsia" w:ascii="Times New Roman" w:hAnsi="Times New Roman" w:eastAsia="宋体" w:cs="Times New Roman"/>
                <w:bCs w:val="0"/>
                <w:color w:val="auto"/>
                <w:sz w:val="24"/>
                <w:szCs w:val="24"/>
                <w:highlight w:val="none"/>
                <w:vertAlign w:val="superscript"/>
                <w:lang w:val="en-US" w:eastAsia="zh-CN" w:bidi="ar-SA"/>
              </w:rPr>
              <w:t>3</w:t>
            </w:r>
            <w:r>
              <w:rPr>
                <w:rFonts w:hint="eastAsia" w:ascii="Times New Roman" w:hAnsi="Times New Roman" w:eastAsia="宋体" w:cs="Times New Roman"/>
                <w:bCs w:val="0"/>
                <w:color w:val="auto"/>
                <w:sz w:val="24"/>
                <w:szCs w:val="24"/>
                <w:highlight w:val="none"/>
                <w:lang w:val="en-US" w:eastAsia="zh-CN" w:bidi="ar-SA"/>
              </w:rPr>
              <w:t>，项目施工结束后，拉运至下一井场用于井场、道路和生活营地的铺垫，</w:t>
            </w:r>
            <w:r>
              <w:rPr>
                <w:rFonts w:hint="eastAsia" w:ascii="Times New Roman" w:hAnsi="Times New Roman" w:eastAsia="宋体" w:cs="Times New Roman"/>
                <w:bCs w:val="0"/>
                <w:color w:val="auto"/>
                <w:sz w:val="24"/>
                <w:highlight w:val="none"/>
                <w:lang w:val="en-US" w:eastAsia="zh-CN"/>
              </w:rPr>
              <w:t>实现了循环利用，无弃方产生。</w:t>
            </w:r>
          </w:p>
          <w:p>
            <w:pPr>
              <w:keepNext w:val="0"/>
              <w:keepLines w:val="0"/>
              <w:pageBreakBefore w:val="0"/>
              <w:numPr>
                <w:ilvl w:val="0"/>
                <w:numId w:val="0"/>
              </w:numPr>
              <w:kinsoku/>
              <w:wordWrap/>
              <w:overflowPunct/>
              <w:topLinePunct w:val="0"/>
              <w:autoSpaceDE/>
              <w:autoSpaceDN/>
              <w:bidi w:val="0"/>
              <w:adjustRightInd/>
              <w:snapToGrid w:val="0"/>
              <w:spacing w:line="500" w:lineRule="exact"/>
              <w:ind w:firstLine="480" w:firstLineChars="200"/>
              <w:jc w:val="both"/>
              <w:textAlignment w:val="auto"/>
              <w:rPr>
                <w:rFonts w:hint="eastAsia" w:ascii="Times New Roman" w:hAnsi="Times New Roman" w:eastAsia="宋体" w:cs="Times New Roman"/>
                <w:bCs w:val="0"/>
                <w:color w:val="auto"/>
                <w:sz w:val="24"/>
                <w:highlight w:val="none"/>
                <w:lang w:val="en-US" w:eastAsia="zh-CN"/>
              </w:rPr>
            </w:pPr>
            <w:r>
              <w:rPr>
                <w:rFonts w:hint="eastAsia" w:ascii="Times New Roman" w:hAnsi="Times New Roman" w:eastAsia="宋体" w:cs="Times New Roman"/>
                <w:bCs w:val="0"/>
                <w:color w:val="auto"/>
                <w:sz w:val="24"/>
                <w:highlight w:val="none"/>
                <w:lang w:val="en-US" w:eastAsia="zh-CN"/>
              </w:rPr>
              <w:t>项目土石方平衡见下表所示：</w:t>
            </w:r>
          </w:p>
          <w:p>
            <w:pPr>
              <w:keepNext w:val="0"/>
              <w:keepLines w:val="0"/>
              <w:pageBreakBefore w:val="0"/>
              <w:widowControl w:val="0"/>
              <w:kinsoku/>
              <w:wordWrap/>
              <w:overflowPunct/>
              <w:topLinePunct w:val="0"/>
              <w:autoSpaceDE/>
              <w:autoSpaceDN/>
              <w:bidi w:val="0"/>
              <w:adjustRightInd/>
              <w:snapToGrid w:val="0"/>
              <w:spacing w:line="500" w:lineRule="exact"/>
              <w:ind w:firstLine="0" w:firstLineChars="0"/>
              <w:jc w:val="center"/>
              <w:textAlignment w:val="auto"/>
              <w:rPr>
                <w:rFonts w:hint="eastAsia" w:ascii="黑体" w:hAnsi="黑体" w:eastAsia="黑体" w:cs="黑体"/>
                <w:bCs w:val="0"/>
                <w:color w:val="auto"/>
                <w:kern w:val="2"/>
                <w:sz w:val="21"/>
                <w:szCs w:val="21"/>
                <w:highlight w:val="none"/>
                <w:lang w:val="en-US" w:eastAsia="zh-CN" w:bidi="ar-SA"/>
              </w:rPr>
            </w:pPr>
            <w:r>
              <w:rPr>
                <w:rFonts w:hint="eastAsia" w:ascii="黑体" w:hAnsi="黑体" w:eastAsia="黑体" w:cs="黑体"/>
                <w:bCs w:val="0"/>
                <w:color w:val="auto"/>
                <w:kern w:val="2"/>
                <w:sz w:val="21"/>
                <w:szCs w:val="21"/>
                <w:highlight w:val="none"/>
                <w:lang w:val="en-US" w:eastAsia="zh-CN" w:bidi="ar-SA"/>
              </w:rPr>
              <w:t>表 4-5  土石方平衡一览表</w:t>
            </w:r>
          </w:p>
          <w:tbl>
            <w:tblPr>
              <w:tblStyle w:val="27"/>
              <w:tblW w:w="4997"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51" w:type="dxa"/>
                <w:bottom w:w="0" w:type="dxa"/>
                <w:right w:w="51" w:type="dxa"/>
              </w:tblCellMar>
            </w:tblPr>
            <w:tblGrid>
              <w:gridCol w:w="538"/>
              <w:gridCol w:w="1232"/>
              <w:gridCol w:w="1188"/>
              <w:gridCol w:w="1188"/>
              <w:gridCol w:w="1188"/>
              <w:gridCol w:w="1188"/>
              <w:gridCol w:w="118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0" w:hRule="atLeast"/>
              </w:trPr>
              <w:tc>
                <w:tcPr>
                  <w:tcW w:w="504" w:type="dxa"/>
                  <w:vMerge w:val="restart"/>
                  <w:tcBorders>
                    <w:tl2br w:val="nil"/>
                    <w:tr2bl w:val="nil"/>
                  </w:tcBorders>
                  <w:shd w:val="clear" w:color="auto" w:fill="FFFFFF"/>
                  <w:noWrap/>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Cs w:val="0"/>
                      <w:color w:val="auto"/>
                      <w:kern w:val="0"/>
                      <w:sz w:val="21"/>
                      <w:szCs w:val="21"/>
                      <w:highlight w:val="none"/>
                      <w:lang w:val="en-US" w:eastAsia="zh-CN" w:bidi="ar-SA"/>
                    </w:rPr>
                  </w:pPr>
                  <w:r>
                    <w:rPr>
                      <w:rFonts w:hint="default" w:ascii="Times New Roman" w:hAnsi="Times New Roman" w:eastAsia="宋体" w:cs="Times New Roman"/>
                      <w:bCs w:val="0"/>
                      <w:color w:val="auto"/>
                      <w:kern w:val="0"/>
                      <w:sz w:val="21"/>
                      <w:szCs w:val="21"/>
                      <w:highlight w:val="none"/>
                      <w:lang w:val="en-US" w:eastAsia="zh-CN" w:bidi="ar-SA"/>
                    </w:rPr>
                    <w:t>序号</w:t>
                  </w:r>
                </w:p>
              </w:tc>
              <w:tc>
                <w:tcPr>
                  <w:tcW w:w="1155" w:type="dxa"/>
                  <w:vMerge w:val="restart"/>
                  <w:tcBorders>
                    <w:tl2br w:val="nil"/>
                    <w:tr2bl w:val="nil"/>
                  </w:tcBorders>
                  <w:shd w:val="clear" w:color="auto" w:fill="FFFFFF"/>
                  <w:noWrap/>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Cs w:val="0"/>
                      <w:color w:val="auto"/>
                      <w:kern w:val="0"/>
                      <w:sz w:val="21"/>
                      <w:szCs w:val="21"/>
                      <w:highlight w:val="none"/>
                      <w:lang w:val="en-US" w:eastAsia="zh-CN" w:bidi="ar-SA"/>
                    </w:rPr>
                  </w:pPr>
                  <w:r>
                    <w:rPr>
                      <w:rFonts w:hint="default" w:ascii="Times New Roman" w:hAnsi="Times New Roman" w:eastAsia="宋体" w:cs="Times New Roman"/>
                      <w:bCs w:val="0"/>
                      <w:color w:val="auto"/>
                      <w:kern w:val="0"/>
                      <w:sz w:val="21"/>
                      <w:szCs w:val="21"/>
                      <w:highlight w:val="none"/>
                      <w:lang w:val="en-US" w:eastAsia="zh-CN" w:bidi="ar-SA"/>
                    </w:rPr>
                    <w:t>区域</w:t>
                  </w:r>
                </w:p>
              </w:tc>
              <w:tc>
                <w:tcPr>
                  <w:tcW w:w="5571" w:type="dxa"/>
                  <w:gridSpan w:val="5"/>
                  <w:tcBorders>
                    <w:tl2br w:val="nil"/>
                    <w:tr2bl w:val="nil"/>
                  </w:tcBorders>
                  <w:shd w:val="clear" w:color="auto" w:fill="FFFFFF"/>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Cs w:val="0"/>
                      <w:color w:val="auto"/>
                      <w:kern w:val="0"/>
                      <w:sz w:val="21"/>
                      <w:szCs w:val="21"/>
                      <w:highlight w:val="none"/>
                      <w:lang w:val="en-US" w:eastAsia="zh-CN" w:bidi="ar-SA"/>
                    </w:rPr>
                  </w:pPr>
                  <w:r>
                    <w:rPr>
                      <w:rFonts w:hint="default" w:ascii="Times New Roman" w:hAnsi="Times New Roman" w:eastAsia="宋体" w:cs="Times New Roman"/>
                      <w:bCs w:val="0"/>
                      <w:color w:val="auto"/>
                      <w:kern w:val="0"/>
                      <w:sz w:val="21"/>
                      <w:szCs w:val="21"/>
                      <w:highlight w:val="none"/>
                      <w:lang w:val="en-US" w:eastAsia="zh-CN" w:bidi="ar-SA"/>
                    </w:rPr>
                    <w:t>土方工程量（</w:t>
                  </w:r>
                  <w:r>
                    <w:rPr>
                      <w:rFonts w:hint="eastAsia" w:ascii="Times New Roman" w:hAnsi="Times New Roman" w:eastAsia="宋体" w:cs="Times New Roman"/>
                      <w:bCs w:val="0"/>
                      <w:color w:val="auto"/>
                      <w:kern w:val="0"/>
                      <w:sz w:val="21"/>
                      <w:szCs w:val="21"/>
                      <w:highlight w:val="none"/>
                      <w:lang w:val="en-US" w:eastAsia="zh-CN" w:bidi="ar-SA"/>
                    </w:rPr>
                    <w:t>m</w:t>
                  </w:r>
                  <w:r>
                    <w:rPr>
                      <w:rFonts w:hint="eastAsia" w:ascii="Times New Roman" w:hAnsi="Times New Roman" w:eastAsia="宋体" w:cs="Times New Roman"/>
                      <w:bCs w:val="0"/>
                      <w:color w:val="auto"/>
                      <w:kern w:val="0"/>
                      <w:sz w:val="21"/>
                      <w:szCs w:val="21"/>
                      <w:highlight w:val="none"/>
                      <w:vertAlign w:val="superscript"/>
                      <w:lang w:val="en-US" w:eastAsia="zh-CN" w:bidi="ar-SA"/>
                    </w:rPr>
                    <w:t>3</w:t>
                  </w:r>
                  <w:r>
                    <w:rPr>
                      <w:rFonts w:hint="default" w:ascii="Times New Roman" w:hAnsi="Times New Roman" w:eastAsia="宋体" w:cs="Times New Roman"/>
                      <w:bCs w:val="0"/>
                      <w:color w:val="auto"/>
                      <w:kern w:val="0"/>
                      <w:sz w:val="21"/>
                      <w:szCs w:val="21"/>
                      <w:highlight w:val="none"/>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0" w:hRule="atLeast"/>
              </w:trPr>
              <w:tc>
                <w:tcPr>
                  <w:tcW w:w="504" w:type="dxa"/>
                  <w:vMerge w:val="continue"/>
                  <w:tcBorders>
                    <w:tl2br w:val="nil"/>
                    <w:tr2bl w:val="nil"/>
                  </w:tcBorders>
                  <w:shd w:val="clear" w:color="auto" w:fill="FFFFFF"/>
                  <w:noWrap/>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Cs w:val="0"/>
                      <w:color w:val="auto"/>
                      <w:kern w:val="0"/>
                      <w:sz w:val="21"/>
                      <w:szCs w:val="21"/>
                      <w:highlight w:val="none"/>
                      <w:lang w:val="en-US" w:eastAsia="zh-CN" w:bidi="ar-SA"/>
                    </w:rPr>
                  </w:pPr>
                </w:p>
              </w:tc>
              <w:tc>
                <w:tcPr>
                  <w:tcW w:w="1155" w:type="dxa"/>
                  <w:vMerge w:val="continue"/>
                  <w:tcBorders>
                    <w:tl2br w:val="nil"/>
                    <w:tr2bl w:val="nil"/>
                  </w:tcBorders>
                  <w:shd w:val="clear" w:color="auto" w:fill="FFFFFF"/>
                  <w:noWrap/>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Cs w:val="0"/>
                      <w:color w:val="auto"/>
                      <w:kern w:val="0"/>
                      <w:sz w:val="21"/>
                      <w:szCs w:val="21"/>
                      <w:highlight w:val="none"/>
                      <w:lang w:val="en-US" w:eastAsia="zh-CN" w:bidi="ar-SA"/>
                    </w:rPr>
                  </w:pPr>
                </w:p>
              </w:tc>
              <w:tc>
                <w:tcPr>
                  <w:tcW w:w="1114" w:type="dxa"/>
                  <w:tcBorders>
                    <w:tl2br w:val="nil"/>
                    <w:tr2bl w:val="nil"/>
                  </w:tcBorders>
                  <w:shd w:val="clear" w:color="auto" w:fill="FFFFFF"/>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val="0"/>
                      <w:color w:val="auto"/>
                      <w:kern w:val="0"/>
                      <w:sz w:val="21"/>
                      <w:szCs w:val="21"/>
                      <w:highlight w:val="none"/>
                      <w:lang w:val="en-US" w:eastAsia="zh-CN" w:bidi="ar-SA"/>
                    </w:rPr>
                  </w:pPr>
                  <w:r>
                    <w:rPr>
                      <w:rFonts w:hint="default" w:ascii="Times New Roman" w:hAnsi="Times New Roman" w:eastAsia="宋体" w:cs="Times New Roman"/>
                      <w:bCs w:val="0"/>
                      <w:color w:val="auto"/>
                      <w:kern w:val="0"/>
                      <w:sz w:val="21"/>
                      <w:szCs w:val="21"/>
                      <w:highlight w:val="none"/>
                      <w:lang w:val="en-US" w:eastAsia="zh-CN" w:bidi="ar-SA"/>
                    </w:rPr>
                    <w:t>开挖量</w:t>
                  </w:r>
                  <w:r>
                    <w:rPr>
                      <w:rFonts w:hint="eastAsia" w:cs="Times New Roman"/>
                      <w:bCs w:val="0"/>
                      <w:color w:val="auto"/>
                      <w:kern w:val="0"/>
                      <w:sz w:val="21"/>
                      <w:szCs w:val="21"/>
                      <w:highlight w:val="none"/>
                      <w:lang w:val="en-US" w:eastAsia="zh-CN" w:bidi="ar-SA"/>
                    </w:rPr>
                    <w:t>（</w:t>
                  </w:r>
                  <w:r>
                    <w:rPr>
                      <w:rFonts w:hint="default" w:ascii="Times New Roman" w:hAnsi="Times New Roman" w:eastAsia="宋体" w:cs="Times New Roman"/>
                      <w:bCs w:val="0"/>
                      <w:color w:val="auto"/>
                      <w:kern w:val="0"/>
                      <w:sz w:val="21"/>
                      <w:szCs w:val="21"/>
                      <w:highlight w:val="none"/>
                      <w:lang w:val="en-US" w:eastAsia="zh-CN" w:bidi="ar-SA"/>
                    </w:rPr>
                    <w:t>场地平整</w:t>
                  </w:r>
                  <w:r>
                    <w:rPr>
                      <w:rFonts w:hint="eastAsia" w:ascii="Times New Roman" w:hAnsi="Times New Roman" w:eastAsia="宋体" w:cs="Times New Roman"/>
                      <w:bCs w:val="0"/>
                      <w:color w:val="auto"/>
                      <w:kern w:val="0"/>
                      <w:sz w:val="21"/>
                      <w:szCs w:val="21"/>
                      <w:highlight w:val="none"/>
                      <w:lang w:val="en-US" w:eastAsia="zh-CN" w:bidi="ar-SA"/>
                    </w:rPr>
                    <w:t>）</w:t>
                  </w:r>
                </w:p>
              </w:tc>
              <w:tc>
                <w:tcPr>
                  <w:tcW w:w="1114" w:type="dxa"/>
                  <w:tcBorders>
                    <w:tl2br w:val="nil"/>
                    <w:tr2bl w:val="nil"/>
                  </w:tcBorders>
                  <w:shd w:val="clear" w:color="auto" w:fill="FFFFFF"/>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Cs w:val="0"/>
                      <w:color w:val="auto"/>
                      <w:kern w:val="0"/>
                      <w:sz w:val="21"/>
                      <w:szCs w:val="21"/>
                      <w:highlight w:val="none"/>
                      <w:lang w:val="en-US" w:eastAsia="zh-CN" w:bidi="ar-SA"/>
                    </w:rPr>
                  </w:pPr>
                  <w:r>
                    <w:rPr>
                      <w:rFonts w:hint="default" w:ascii="Times New Roman" w:hAnsi="Times New Roman" w:eastAsia="宋体" w:cs="Times New Roman"/>
                      <w:bCs w:val="0"/>
                      <w:color w:val="auto"/>
                      <w:kern w:val="0"/>
                      <w:sz w:val="21"/>
                      <w:szCs w:val="21"/>
                      <w:highlight w:val="none"/>
                      <w:lang w:val="en-US" w:eastAsia="zh-CN" w:bidi="ar-SA"/>
                    </w:rPr>
                    <w:t>回填量</w:t>
                  </w:r>
                </w:p>
              </w:tc>
              <w:tc>
                <w:tcPr>
                  <w:tcW w:w="1114" w:type="dxa"/>
                  <w:tcBorders>
                    <w:tl2br w:val="nil"/>
                    <w:tr2bl w:val="nil"/>
                  </w:tcBorders>
                  <w:shd w:val="clear" w:color="auto" w:fill="FFFFFF"/>
                  <w:noWrap/>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Cs w:val="0"/>
                      <w:color w:val="auto"/>
                      <w:kern w:val="0"/>
                      <w:sz w:val="21"/>
                      <w:szCs w:val="21"/>
                      <w:highlight w:val="none"/>
                      <w:lang w:val="en-US" w:eastAsia="zh-CN" w:bidi="ar-SA"/>
                    </w:rPr>
                  </w:pPr>
                  <w:r>
                    <w:rPr>
                      <w:rFonts w:hint="eastAsia" w:ascii="Times New Roman" w:hAnsi="Times New Roman" w:eastAsia="宋体" w:cs="Times New Roman"/>
                      <w:bCs w:val="0"/>
                      <w:color w:val="auto"/>
                      <w:kern w:val="0"/>
                      <w:sz w:val="21"/>
                      <w:szCs w:val="21"/>
                      <w:highlight w:val="none"/>
                      <w:lang w:val="en-US" w:eastAsia="zh-CN" w:bidi="ar-SA"/>
                    </w:rPr>
                    <w:t>借方量</w:t>
                  </w:r>
                </w:p>
              </w:tc>
              <w:tc>
                <w:tcPr>
                  <w:tcW w:w="1114" w:type="dxa"/>
                  <w:tcBorders>
                    <w:tl2br w:val="nil"/>
                    <w:tr2bl w:val="nil"/>
                  </w:tcBorders>
                  <w:shd w:val="clear" w:color="auto" w:fill="FFFFFF"/>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Cs w:val="0"/>
                      <w:color w:val="auto"/>
                      <w:kern w:val="0"/>
                      <w:sz w:val="21"/>
                      <w:szCs w:val="21"/>
                      <w:highlight w:val="none"/>
                      <w:lang w:val="en-US" w:eastAsia="zh-CN" w:bidi="ar-SA"/>
                    </w:rPr>
                  </w:pPr>
                  <w:r>
                    <w:rPr>
                      <w:rFonts w:hint="default" w:ascii="Times New Roman" w:hAnsi="Times New Roman" w:eastAsia="宋体" w:cs="Times New Roman"/>
                      <w:bCs w:val="0"/>
                      <w:color w:val="auto"/>
                      <w:kern w:val="0"/>
                      <w:sz w:val="21"/>
                      <w:szCs w:val="21"/>
                      <w:highlight w:val="none"/>
                      <w:lang w:val="en-US" w:eastAsia="zh-CN" w:bidi="ar-SA"/>
                    </w:rPr>
                    <w:t>弃方量</w:t>
                  </w:r>
                </w:p>
              </w:tc>
              <w:tc>
                <w:tcPr>
                  <w:tcW w:w="1115" w:type="dxa"/>
                  <w:tcBorders>
                    <w:tl2br w:val="nil"/>
                    <w:tr2bl w:val="nil"/>
                  </w:tcBorders>
                  <w:shd w:val="clear" w:color="auto" w:fill="FFFFFF"/>
                  <w:noWrap/>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Cs w:val="0"/>
                      <w:color w:val="auto"/>
                      <w:kern w:val="0"/>
                      <w:sz w:val="21"/>
                      <w:szCs w:val="21"/>
                      <w:highlight w:val="none"/>
                      <w:lang w:val="en-US" w:eastAsia="zh-CN" w:bidi="ar-SA"/>
                    </w:rPr>
                  </w:pPr>
                  <w:r>
                    <w:rPr>
                      <w:rFonts w:hint="default" w:ascii="Times New Roman" w:hAnsi="Times New Roman" w:eastAsia="宋体" w:cs="Times New Roman"/>
                      <w:bCs w:val="0"/>
                      <w:color w:val="auto"/>
                      <w:kern w:val="0"/>
                      <w:sz w:val="21"/>
                      <w:szCs w:val="21"/>
                      <w:highlight w:val="none"/>
                      <w:lang w:val="en-US" w:eastAsia="zh-CN" w:bidi="ar-SA"/>
                    </w:rPr>
                    <w:t>利用量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0" w:hRule="atLeast"/>
              </w:trPr>
              <w:tc>
                <w:tcPr>
                  <w:tcW w:w="504" w:type="dxa"/>
                  <w:tcBorders>
                    <w:tl2br w:val="nil"/>
                    <w:tr2bl w:val="nil"/>
                  </w:tcBorders>
                  <w:shd w:val="clear" w:color="auto" w:fill="FFFFFF"/>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Cs w:val="0"/>
                      <w:color w:val="auto"/>
                      <w:kern w:val="0"/>
                      <w:sz w:val="21"/>
                      <w:szCs w:val="21"/>
                      <w:highlight w:val="none"/>
                      <w:lang w:val="en-US" w:eastAsia="zh-CN" w:bidi="ar-SA"/>
                    </w:rPr>
                  </w:pPr>
                  <w:r>
                    <w:rPr>
                      <w:rFonts w:hint="eastAsia" w:ascii="Times New Roman" w:hAnsi="Times New Roman" w:eastAsia="宋体" w:cs="Times New Roman"/>
                      <w:bCs w:val="0"/>
                      <w:color w:val="auto"/>
                      <w:kern w:val="0"/>
                      <w:sz w:val="21"/>
                      <w:szCs w:val="21"/>
                      <w:highlight w:val="none"/>
                      <w:lang w:val="en-US" w:eastAsia="zh-CN" w:bidi="ar-SA"/>
                    </w:rPr>
                    <w:t>1</w:t>
                  </w:r>
                </w:p>
              </w:tc>
              <w:tc>
                <w:tcPr>
                  <w:tcW w:w="1155" w:type="dxa"/>
                  <w:tcBorders>
                    <w:tl2br w:val="nil"/>
                    <w:tr2bl w:val="nil"/>
                  </w:tcBorders>
                  <w:shd w:val="clear" w:color="auto" w:fill="FFFFFF"/>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val="0"/>
                      <w:color w:val="auto"/>
                      <w:kern w:val="0"/>
                      <w:sz w:val="21"/>
                      <w:szCs w:val="21"/>
                      <w:highlight w:val="none"/>
                      <w:lang w:val="en-US" w:eastAsia="zh-CN" w:bidi="ar-SA"/>
                    </w:rPr>
                  </w:pPr>
                  <w:r>
                    <w:rPr>
                      <w:rFonts w:hint="eastAsia" w:cs="Times New Roman"/>
                      <w:bCs w:val="0"/>
                      <w:color w:val="auto"/>
                      <w:kern w:val="0"/>
                      <w:sz w:val="21"/>
                      <w:szCs w:val="21"/>
                      <w:highlight w:val="none"/>
                      <w:lang w:val="en-US" w:eastAsia="zh-CN" w:bidi="ar-SA"/>
                    </w:rPr>
                    <w:t>莫24H井井场、道路及生活区</w:t>
                  </w:r>
                </w:p>
              </w:tc>
              <w:tc>
                <w:tcPr>
                  <w:tcW w:w="1114" w:type="dxa"/>
                  <w:tcBorders>
                    <w:tl2br w:val="nil"/>
                    <w:tr2bl w:val="nil"/>
                  </w:tcBorders>
                  <w:shd w:val="clear" w:color="auto" w:fill="FFFFFF"/>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val="0"/>
                      <w:color w:val="auto"/>
                      <w:kern w:val="0"/>
                      <w:sz w:val="21"/>
                      <w:szCs w:val="21"/>
                      <w:highlight w:val="none"/>
                      <w:lang w:val="en-US" w:eastAsia="zh-CN" w:bidi="ar-SA"/>
                    </w:rPr>
                  </w:pPr>
                  <w:r>
                    <w:rPr>
                      <w:rFonts w:hint="eastAsia" w:ascii="Times New Roman" w:hAnsi="Times New Roman" w:eastAsia="宋体" w:cs="Times New Roman"/>
                      <w:bCs w:val="0"/>
                      <w:color w:val="auto"/>
                      <w:kern w:val="0"/>
                      <w:sz w:val="21"/>
                      <w:szCs w:val="21"/>
                      <w:highlight w:val="none"/>
                      <w:lang w:val="en-US" w:eastAsia="zh-CN" w:bidi="ar-SA"/>
                    </w:rPr>
                    <w:t>1682.9</w:t>
                  </w:r>
                </w:p>
              </w:tc>
              <w:tc>
                <w:tcPr>
                  <w:tcW w:w="1114" w:type="dxa"/>
                  <w:tcBorders>
                    <w:tl2br w:val="nil"/>
                    <w:tr2bl w:val="nil"/>
                  </w:tcBorders>
                  <w:shd w:val="clear" w:color="auto" w:fill="FFFFFF"/>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Cs w:val="0"/>
                      <w:color w:val="auto"/>
                      <w:kern w:val="0"/>
                      <w:sz w:val="21"/>
                      <w:szCs w:val="21"/>
                      <w:highlight w:val="none"/>
                      <w:lang w:val="en-US" w:eastAsia="zh-CN" w:bidi="ar-SA"/>
                    </w:rPr>
                  </w:pPr>
                  <w:r>
                    <w:rPr>
                      <w:rFonts w:hint="eastAsia" w:ascii="Times New Roman" w:hAnsi="Times New Roman" w:eastAsia="宋体" w:cs="Times New Roman"/>
                      <w:bCs w:val="0"/>
                      <w:color w:val="auto"/>
                      <w:kern w:val="0"/>
                      <w:sz w:val="21"/>
                      <w:szCs w:val="21"/>
                      <w:highlight w:val="none"/>
                      <w:lang w:val="en-US" w:eastAsia="zh-CN" w:bidi="ar-SA"/>
                    </w:rPr>
                    <w:t>1682.9</w:t>
                  </w:r>
                </w:p>
              </w:tc>
              <w:tc>
                <w:tcPr>
                  <w:tcW w:w="1114" w:type="dxa"/>
                  <w:tcBorders>
                    <w:tl2br w:val="nil"/>
                    <w:tr2bl w:val="nil"/>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bCs w:val="0"/>
                      <w:color w:val="auto"/>
                      <w:sz w:val="21"/>
                      <w:szCs w:val="21"/>
                      <w:highlight w:val="none"/>
                    </w:rPr>
                  </w:pPr>
                  <w:r>
                    <w:rPr>
                      <w:rFonts w:hint="eastAsia" w:ascii="Times New Roman" w:hAnsi="Times New Roman" w:eastAsia="宋体" w:cs="Times New Roman"/>
                      <w:bCs w:val="0"/>
                      <w:color w:val="auto"/>
                      <w:sz w:val="21"/>
                      <w:szCs w:val="21"/>
                      <w:highlight w:val="none"/>
                      <w:lang w:val="en-US" w:eastAsia="zh-CN"/>
                    </w:rPr>
                    <w:t>1682.9</w:t>
                  </w:r>
                </w:p>
              </w:tc>
              <w:tc>
                <w:tcPr>
                  <w:tcW w:w="1114" w:type="dxa"/>
                  <w:tcBorders>
                    <w:tl2br w:val="nil"/>
                    <w:tr2bl w:val="nil"/>
                  </w:tcBorders>
                  <w:shd w:val="clear" w:color="auto" w:fill="FFFFFF"/>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Cs w:val="0"/>
                      <w:color w:val="auto"/>
                      <w:kern w:val="0"/>
                      <w:sz w:val="21"/>
                      <w:szCs w:val="21"/>
                      <w:highlight w:val="none"/>
                      <w:lang w:val="en-US" w:eastAsia="zh-CN" w:bidi="ar-SA"/>
                    </w:rPr>
                  </w:pPr>
                  <w:r>
                    <w:rPr>
                      <w:rFonts w:hint="eastAsia" w:ascii="Times New Roman" w:hAnsi="Times New Roman" w:eastAsia="宋体" w:cs="Times New Roman"/>
                      <w:bCs w:val="0"/>
                      <w:color w:val="auto"/>
                      <w:kern w:val="0"/>
                      <w:sz w:val="21"/>
                      <w:szCs w:val="21"/>
                      <w:highlight w:val="none"/>
                      <w:lang w:val="en-US" w:eastAsia="zh-CN" w:bidi="ar-SA"/>
                    </w:rPr>
                    <w:t>0</w:t>
                  </w:r>
                </w:p>
              </w:tc>
              <w:tc>
                <w:tcPr>
                  <w:tcW w:w="1115" w:type="dxa"/>
                  <w:tcBorders>
                    <w:tl2br w:val="nil"/>
                    <w:tr2bl w:val="nil"/>
                  </w:tcBorders>
                  <w:shd w:val="clear" w:color="auto" w:fill="FFFFFF"/>
                  <w:noWrap/>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Cs w:val="0"/>
                      <w:color w:val="auto"/>
                      <w:kern w:val="0"/>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rPr>
                    <w:t>1682.9</w:t>
                  </w:r>
                </w:p>
              </w:tc>
            </w:tr>
          </w:tbl>
          <w:p>
            <w:pPr>
              <w:pStyle w:val="10"/>
              <w:ind w:firstLine="480"/>
              <w:rPr>
                <w:rFonts w:hint="default" w:ascii="Times New Roman" w:hAnsi="Times New Roman" w:eastAsia="宋体" w:cs="Times New Roman"/>
                <w:b w:val="0"/>
                <w:bCs w:val="0"/>
                <w:color w:val="auto"/>
                <w:lang w:val="en-US" w:eastAsia="zh-CN"/>
              </w:rPr>
            </w:pPr>
            <w:r>
              <w:rPr>
                <w:rFonts w:hint="eastAsia" w:ascii="Times New Roman" w:hAnsi="Times New Roman" w:eastAsia="宋体" w:cs="Times New Roman"/>
                <w:b w:val="0"/>
                <w:bCs w:val="0"/>
                <w:color w:val="auto"/>
                <w:lang w:eastAsia="zh-CN"/>
              </w:rPr>
              <w:t>（</w:t>
            </w:r>
            <w:r>
              <w:rPr>
                <w:rFonts w:hint="eastAsia" w:ascii="Times New Roman" w:hAnsi="Times New Roman" w:eastAsia="宋体" w:cs="Times New Roman"/>
                <w:b w:val="0"/>
                <w:bCs w:val="0"/>
                <w:color w:val="auto"/>
                <w:lang w:val="en-US" w:eastAsia="zh-CN"/>
              </w:rPr>
              <w:t>6</w:t>
            </w:r>
            <w:r>
              <w:rPr>
                <w:rFonts w:hint="eastAsia" w:ascii="Times New Roman" w:hAnsi="Times New Roman" w:eastAsia="宋体" w:cs="Times New Roman"/>
                <w:b w:val="0"/>
                <w:bCs w:val="0"/>
                <w:color w:val="auto"/>
                <w:lang w:eastAsia="zh-CN"/>
              </w:rPr>
              <w:t>）</w:t>
            </w:r>
            <w:r>
              <w:rPr>
                <w:rFonts w:hint="eastAsia" w:ascii="Times New Roman" w:hAnsi="Times New Roman" w:eastAsia="宋体" w:cs="Times New Roman"/>
                <w:b w:val="0"/>
                <w:bCs w:val="0"/>
                <w:color w:val="auto"/>
                <w:lang w:val="en-US" w:eastAsia="zh-CN"/>
              </w:rPr>
              <w:t>小结</w:t>
            </w:r>
          </w:p>
          <w:p>
            <w:pPr>
              <w:pStyle w:val="10"/>
              <w:ind w:firstLine="480"/>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rPr>
              <w:t>本项目</w:t>
            </w:r>
            <w:r>
              <w:rPr>
                <w:rFonts w:hint="eastAsia" w:ascii="Times New Roman" w:hAnsi="Times New Roman" w:eastAsia="宋体" w:cs="Times New Roman"/>
                <w:b w:val="0"/>
                <w:bCs w:val="0"/>
                <w:color w:val="auto"/>
                <w:lang w:val="en-US" w:eastAsia="zh-CN"/>
              </w:rPr>
              <w:t>产生的固体废物种类、产生量</w:t>
            </w:r>
            <w:r>
              <w:rPr>
                <w:rFonts w:hint="default" w:ascii="Times New Roman" w:hAnsi="Times New Roman" w:eastAsia="宋体" w:cs="Times New Roman"/>
                <w:b w:val="0"/>
                <w:bCs w:val="0"/>
                <w:color w:val="auto"/>
              </w:rPr>
              <w:t>、</w:t>
            </w:r>
            <w:r>
              <w:rPr>
                <w:rFonts w:hint="eastAsia" w:ascii="Times New Roman" w:hAnsi="Times New Roman" w:eastAsia="宋体" w:cs="Times New Roman"/>
                <w:b w:val="0"/>
                <w:bCs w:val="0"/>
                <w:color w:val="auto"/>
                <w:lang w:val="en-US" w:eastAsia="zh-CN"/>
              </w:rPr>
              <w:t>贮存情况</w:t>
            </w:r>
            <w:r>
              <w:rPr>
                <w:rFonts w:hint="default" w:ascii="Times New Roman" w:hAnsi="Times New Roman" w:eastAsia="宋体" w:cs="Times New Roman"/>
                <w:b w:val="0"/>
                <w:bCs w:val="0"/>
                <w:color w:val="auto"/>
              </w:rPr>
              <w:t>和</w:t>
            </w:r>
            <w:r>
              <w:rPr>
                <w:rFonts w:hint="eastAsia" w:ascii="Times New Roman" w:hAnsi="Times New Roman" w:eastAsia="宋体" w:cs="Times New Roman"/>
                <w:b w:val="0"/>
                <w:bCs w:val="0"/>
                <w:color w:val="auto"/>
                <w:lang w:val="en-US" w:eastAsia="zh-CN"/>
              </w:rPr>
              <w:t>贮存设施</w:t>
            </w:r>
            <w:r>
              <w:rPr>
                <w:rFonts w:hint="default" w:ascii="Times New Roman" w:hAnsi="Times New Roman" w:eastAsia="宋体" w:cs="Times New Roman"/>
                <w:b w:val="0"/>
                <w:bCs w:val="0"/>
                <w:color w:val="auto"/>
              </w:rPr>
              <w:t>等情况详见表4-</w:t>
            </w:r>
            <w:r>
              <w:rPr>
                <w:rFonts w:hint="eastAsia" w:cs="Times New Roman"/>
                <w:b w:val="0"/>
                <w:bCs w:val="0"/>
                <w:color w:val="auto"/>
                <w:lang w:val="en-US" w:eastAsia="zh-CN"/>
              </w:rPr>
              <w:t>6</w:t>
            </w:r>
            <w:r>
              <w:rPr>
                <w:rFonts w:hint="default" w:ascii="Times New Roman" w:hAnsi="Times New Roman" w:eastAsia="宋体" w:cs="Times New Roman"/>
                <w:b w:val="0"/>
                <w:bCs w:val="0"/>
                <w:color w:val="auto"/>
              </w:rPr>
              <w:t>。</w:t>
            </w:r>
          </w:p>
          <w:p>
            <w:pPr>
              <w:pStyle w:val="10"/>
              <w:ind w:firstLine="480"/>
              <w:rPr>
                <w:rFonts w:hint="default" w:ascii="Times New Roman" w:hAnsi="Times New Roman" w:eastAsia="宋体" w:cs="Times New Roman"/>
                <w:b w:val="0"/>
                <w:bCs w:val="0"/>
                <w:color w:val="auto"/>
              </w:rPr>
            </w:pPr>
          </w:p>
          <w:p>
            <w:pPr>
              <w:pStyle w:val="10"/>
              <w:ind w:firstLine="480"/>
              <w:rPr>
                <w:rFonts w:hint="default" w:ascii="Times New Roman" w:hAnsi="Times New Roman" w:eastAsia="宋体" w:cs="Times New Roman"/>
                <w:b w:val="0"/>
                <w:bCs w:val="0"/>
                <w:color w:val="auto"/>
              </w:rPr>
            </w:pPr>
          </w:p>
          <w:p>
            <w:pPr>
              <w:pStyle w:val="10"/>
              <w:ind w:firstLine="480"/>
              <w:rPr>
                <w:rFonts w:hint="default" w:ascii="Times New Roman" w:hAnsi="Times New Roman" w:eastAsia="宋体" w:cs="Times New Roman"/>
                <w:b w:val="0"/>
                <w:bCs w:val="0"/>
                <w:color w:val="auto"/>
              </w:rPr>
            </w:pPr>
          </w:p>
          <w:p>
            <w:pPr>
              <w:pStyle w:val="56"/>
              <w:bidi w:val="0"/>
              <w:rPr>
                <w:rFonts w:hint="default"/>
                <w:color w:val="auto"/>
                <w:lang w:val="en-US" w:eastAsia="zh-CN"/>
              </w:rPr>
            </w:pPr>
            <w:r>
              <w:rPr>
                <w:rFonts w:hint="default"/>
                <w:color w:val="auto"/>
              </w:rPr>
              <w:t>表</w:t>
            </w:r>
            <w:r>
              <w:rPr>
                <w:rFonts w:hint="default"/>
                <w:color w:val="auto"/>
                <w:lang w:val="en-US" w:eastAsia="zh-CN"/>
              </w:rPr>
              <w:t>4-</w:t>
            </w:r>
            <w:r>
              <w:rPr>
                <w:rFonts w:hint="eastAsia"/>
                <w:color w:val="auto"/>
                <w:lang w:val="en-US" w:eastAsia="zh-CN"/>
              </w:rPr>
              <w:t>6</w:t>
            </w:r>
            <w:r>
              <w:rPr>
                <w:rFonts w:hint="default"/>
                <w:color w:val="auto"/>
              </w:rPr>
              <w:t xml:space="preserve">  </w:t>
            </w:r>
            <w:r>
              <w:rPr>
                <w:rFonts w:hint="default"/>
                <w:color w:val="auto"/>
                <w:lang w:val="en-US" w:eastAsia="zh-CN"/>
              </w:rPr>
              <w:t>本项目</w:t>
            </w:r>
            <w:r>
              <w:rPr>
                <w:rFonts w:hint="eastAsia"/>
                <w:color w:val="auto"/>
                <w:lang w:val="en-US" w:eastAsia="zh-CN"/>
              </w:rPr>
              <w:t>施工期固体废物情况一览表</w:t>
            </w:r>
          </w:p>
          <w:tbl>
            <w:tblPr>
              <w:tblStyle w:val="50"/>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397"/>
              <w:gridCol w:w="920"/>
              <w:gridCol w:w="1917"/>
              <w:gridCol w:w="920"/>
              <w:gridCol w:w="1556"/>
              <w:gridCol w:w="200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257" w:type="pct"/>
                  <w:vAlign w:val="center"/>
                </w:tcPr>
                <w:p>
                  <w:pPr>
                    <w:pStyle w:val="35"/>
                    <w:bidi w:val="0"/>
                    <w:contextualSpacing/>
                    <w:rPr>
                      <w:rFonts w:hint="eastAsia" w:ascii="Times New Roman" w:hAnsi="Times New Roman" w:eastAsia="宋体" w:cs="Times New Roman"/>
                      <w:color w:val="auto"/>
                      <w:highlight w:val="none"/>
                      <w:lang w:val="en-US" w:eastAsia="zh-CN"/>
                    </w:rPr>
                  </w:pPr>
                  <w:r>
                    <w:rPr>
                      <w:rFonts w:hint="eastAsia"/>
                      <w:color w:val="auto"/>
                      <w:lang w:val="en-US" w:eastAsia="zh-CN"/>
                    </w:rPr>
                    <w:t>序号</w:t>
                  </w:r>
                </w:p>
              </w:tc>
              <w:tc>
                <w:tcPr>
                  <w:tcW w:w="596" w:type="pct"/>
                  <w:vAlign w:val="center"/>
                </w:tcPr>
                <w:p>
                  <w:pPr>
                    <w:pStyle w:val="35"/>
                    <w:bidi w:val="0"/>
                    <w:contextualSpacing/>
                    <w:rPr>
                      <w:rFonts w:hint="default" w:ascii="Times New Roman" w:hAnsi="Times New Roman" w:eastAsia="宋体" w:cs="Times New Roman"/>
                      <w:color w:val="auto"/>
                      <w:highlight w:val="none"/>
                      <w:lang w:val="en-US" w:eastAsia="zh-CN"/>
                    </w:rPr>
                  </w:pPr>
                  <w:r>
                    <w:rPr>
                      <w:rFonts w:hint="eastAsia"/>
                      <w:color w:val="auto"/>
                      <w:lang w:val="en-US" w:eastAsia="zh-CN"/>
                    </w:rPr>
                    <w:t>固废名称</w:t>
                  </w:r>
                </w:p>
              </w:tc>
              <w:tc>
                <w:tcPr>
                  <w:tcW w:w="1242" w:type="pct"/>
                  <w:vAlign w:val="center"/>
                </w:tcPr>
                <w:p>
                  <w:pPr>
                    <w:pStyle w:val="35"/>
                    <w:bidi w:val="0"/>
                    <w:contextualSpacing/>
                    <w:rPr>
                      <w:rFonts w:hint="default" w:ascii="Times New Roman" w:hAnsi="Times New Roman" w:eastAsia="宋体" w:cs="Times New Roman"/>
                      <w:color w:val="auto"/>
                      <w:highlight w:val="none"/>
                      <w:lang w:val="en-US" w:eastAsia="zh-CN"/>
                    </w:rPr>
                  </w:pPr>
                  <w:r>
                    <w:rPr>
                      <w:rFonts w:hint="eastAsia"/>
                      <w:color w:val="auto"/>
                      <w:lang w:val="en-US" w:eastAsia="zh-CN"/>
                    </w:rPr>
                    <w:t>属性/类别</w:t>
                  </w:r>
                </w:p>
              </w:tc>
              <w:tc>
                <w:tcPr>
                  <w:tcW w:w="596" w:type="pct"/>
                  <w:vAlign w:val="center"/>
                </w:tcPr>
                <w:p>
                  <w:pPr>
                    <w:pStyle w:val="35"/>
                    <w:bidi w:val="0"/>
                    <w:contextualSpacing/>
                    <w:rPr>
                      <w:rFonts w:hint="default" w:ascii="Times New Roman" w:hAnsi="Times New Roman" w:eastAsia="宋体" w:cs="Times New Roman"/>
                      <w:color w:val="auto"/>
                      <w:highlight w:val="none"/>
                      <w:lang w:val="en-US" w:eastAsia="zh-CN"/>
                    </w:rPr>
                  </w:pPr>
                  <w:r>
                    <w:rPr>
                      <w:rFonts w:hint="eastAsia"/>
                      <w:color w:val="auto"/>
                      <w:lang w:val="en-US" w:eastAsia="zh-CN"/>
                    </w:rPr>
                    <w:t>产生量</w:t>
                  </w:r>
                </w:p>
              </w:tc>
              <w:tc>
                <w:tcPr>
                  <w:tcW w:w="1008" w:type="pct"/>
                  <w:vAlign w:val="center"/>
                </w:tcPr>
                <w:p>
                  <w:pPr>
                    <w:pStyle w:val="35"/>
                    <w:bidi w:val="0"/>
                    <w:contextualSpacing/>
                    <w:rPr>
                      <w:rFonts w:hint="default" w:ascii="Times New Roman" w:hAnsi="Times New Roman" w:eastAsia="宋体" w:cs="Times New Roman"/>
                      <w:color w:val="auto"/>
                      <w:highlight w:val="none"/>
                      <w:lang w:val="en-US" w:eastAsia="zh-CN"/>
                    </w:rPr>
                  </w:pPr>
                  <w:r>
                    <w:rPr>
                      <w:rFonts w:hint="eastAsia"/>
                      <w:color w:val="auto"/>
                      <w:lang w:val="en-US" w:eastAsia="zh-CN"/>
                    </w:rPr>
                    <w:t>贮存情况</w:t>
                  </w:r>
                </w:p>
              </w:tc>
              <w:tc>
                <w:tcPr>
                  <w:tcW w:w="1299" w:type="pct"/>
                  <w:vAlign w:val="center"/>
                </w:tcPr>
                <w:p>
                  <w:pPr>
                    <w:pStyle w:val="35"/>
                    <w:bidi w:val="0"/>
                    <w:contextualSpacing/>
                    <w:rPr>
                      <w:rFonts w:hint="default" w:ascii="Times New Roman" w:hAnsi="Times New Roman" w:cs="Times New Roman"/>
                      <w:color w:val="auto"/>
                      <w:highlight w:val="none"/>
                      <w:lang w:val="en-US" w:eastAsia="zh-CN"/>
                    </w:rPr>
                  </w:pPr>
                  <w:r>
                    <w:rPr>
                      <w:rFonts w:hint="eastAsia"/>
                      <w:color w:val="auto"/>
                      <w:lang w:val="en-US" w:eastAsia="zh-CN"/>
                    </w:rPr>
                    <w:t>处置方式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257" w:type="pct"/>
                  <w:vAlign w:val="center"/>
                </w:tcPr>
                <w:p>
                  <w:pPr>
                    <w:pStyle w:val="35"/>
                    <w:bidi w:val="0"/>
                    <w:contextualSpacing/>
                    <w:rPr>
                      <w:rFonts w:hint="eastAsia" w:ascii="Times New Roman" w:hAnsi="Times New Roman" w:eastAsia="宋体" w:cs="Times New Roman"/>
                      <w:color w:val="auto"/>
                      <w:highlight w:val="none"/>
                      <w:lang w:val="en-US" w:eastAsia="zh-CN"/>
                    </w:rPr>
                  </w:pPr>
                  <w:r>
                    <w:rPr>
                      <w:rFonts w:hint="eastAsia"/>
                      <w:color w:val="auto"/>
                      <w:lang w:val="en-US" w:eastAsia="zh-CN"/>
                    </w:rPr>
                    <w:t>1</w:t>
                  </w:r>
                </w:p>
              </w:tc>
              <w:tc>
                <w:tcPr>
                  <w:tcW w:w="596" w:type="pct"/>
                  <w:vAlign w:val="center"/>
                </w:tcPr>
                <w:p>
                  <w:pPr>
                    <w:pStyle w:val="35"/>
                    <w:bidi w:val="0"/>
                    <w:contextualSpacing/>
                    <w:rPr>
                      <w:rFonts w:hint="default" w:ascii="Times New Roman" w:hAnsi="Times New Roman" w:eastAsia="宋体" w:cs="Times New Roman"/>
                      <w:color w:val="auto"/>
                      <w:highlight w:val="none"/>
                      <w:lang w:val="en-US" w:eastAsia="zh-CN"/>
                    </w:rPr>
                  </w:pPr>
                  <w:r>
                    <w:rPr>
                      <w:rFonts w:hint="eastAsia"/>
                      <w:color w:val="auto"/>
                      <w:lang w:val="en-US" w:eastAsia="zh-CN"/>
                    </w:rPr>
                    <w:t>水基钻井岩屑</w:t>
                  </w:r>
                </w:p>
              </w:tc>
              <w:tc>
                <w:tcPr>
                  <w:tcW w:w="1242" w:type="pct"/>
                  <w:vAlign w:val="center"/>
                </w:tcPr>
                <w:p>
                  <w:pPr>
                    <w:pStyle w:val="35"/>
                    <w:bidi w:val="0"/>
                    <w:contextualSpacing/>
                    <w:rPr>
                      <w:rFonts w:hint="default" w:ascii="Times New Roman" w:hAnsi="Times New Roman" w:eastAsia="宋体" w:cs="Times New Roman"/>
                      <w:color w:val="auto"/>
                      <w:highlight w:val="none"/>
                      <w:lang w:val="en-US" w:eastAsia="zh-CN"/>
                    </w:rPr>
                  </w:pPr>
                  <w:r>
                    <w:rPr>
                      <w:rFonts w:hint="eastAsia"/>
                      <w:color w:val="auto"/>
                      <w:lang w:val="en-US" w:eastAsia="zh-CN"/>
                    </w:rPr>
                    <w:t>一般工业固体废物SW12，071-001-S12</w:t>
                  </w:r>
                </w:p>
              </w:tc>
              <w:tc>
                <w:tcPr>
                  <w:tcW w:w="596" w:type="pct"/>
                  <w:vAlign w:val="center"/>
                </w:tcPr>
                <w:p>
                  <w:pPr>
                    <w:pStyle w:val="35"/>
                    <w:bidi w:val="0"/>
                    <w:contextualSpacing/>
                    <w:rPr>
                      <w:rFonts w:hint="default" w:ascii="Times New Roman" w:hAnsi="Times New Roman" w:eastAsia="宋体" w:cs="Times New Roman"/>
                      <w:color w:val="auto"/>
                      <w:highlight w:val="none"/>
                      <w:lang w:val="en-US" w:eastAsia="zh-CN"/>
                    </w:rPr>
                  </w:pPr>
                  <w:r>
                    <w:rPr>
                      <w:rFonts w:hint="eastAsia" w:ascii="Times New Roman" w:eastAsia="宋体"/>
                      <w:color w:val="auto"/>
                      <w:lang w:val="en-US" w:eastAsia="zh-CN"/>
                    </w:rPr>
                    <w:t>324.16</w:t>
                  </w:r>
                  <w:r>
                    <w:rPr>
                      <w:rFonts w:hint="eastAsia"/>
                      <w:color w:val="auto"/>
                      <w:lang w:val="en-US" w:eastAsia="zh-CN"/>
                    </w:rPr>
                    <w:t>m</w:t>
                  </w:r>
                  <w:r>
                    <w:rPr>
                      <w:rFonts w:hint="eastAsia"/>
                      <w:color w:val="auto"/>
                      <w:vertAlign w:val="superscript"/>
                      <w:lang w:val="en-US" w:eastAsia="zh-CN"/>
                    </w:rPr>
                    <w:t>3</w:t>
                  </w:r>
                </w:p>
              </w:tc>
              <w:tc>
                <w:tcPr>
                  <w:tcW w:w="1008" w:type="pct"/>
                  <w:vAlign w:val="center"/>
                </w:tcPr>
                <w:p>
                  <w:pPr>
                    <w:pStyle w:val="35"/>
                    <w:bidi w:val="0"/>
                    <w:contextualSpacing/>
                    <w:rPr>
                      <w:rFonts w:hint="eastAsia" w:ascii="Times New Roman" w:hAnsi="Times New Roman" w:eastAsia="宋体" w:cs="Times New Roman"/>
                      <w:color w:val="auto"/>
                      <w:highlight w:val="none"/>
                      <w:lang w:val="en-US" w:eastAsia="zh-CN"/>
                    </w:rPr>
                  </w:pPr>
                  <w:r>
                    <w:rPr>
                      <w:rFonts w:hint="eastAsia"/>
                      <w:color w:val="auto"/>
                      <w:lang w:val="en-US" w:eastAsia="zh-CN"/>
                    </w:rPr>
                    <w:t>25m</w:t>
                  </w:r>
                  <w:r>
                    <w:rPr>
                      <w:rFonts w:hint="eastAsia"/>
                      <w:color w:val="auto"/>
                      <w:vertAlign w:val="superscript"/>
                      <w:lang w:val="en-US" w:eastAsia="zh-CN"/>
                    </w:rPr>
                    <w:t>3</w:t>
                  </w:r>
                  <w:r>
                    <w:rPr>
                      <w:rFonts w:hint="eastAsia" w:ascii="Times New Roman" w:eastAsia="宋体"/>
                      <w:color w:val="auto"/>
                      <w:lang w:val="en-US" w:eastAsia="zh-CN"/>
                    </w:rPr>
                    <w:t>专用方罐</w:t>
                  </w:r>
                </w:p>
              </w:tc>
              <w:tc>
                <w:tcPr>
                  <w:tcW w:w="1299" w:type="pct"/>
                  <w:vAlign w:val="center"/>
                </w:tcPr>
                <w:p>
                  <w:pPr>
                    <w:pStyle w:val="35"/>
                    <w:bidi w:val="0"/>
                    <w:contextualSpacing/>
                    <w:rPr>
                      <w:rFonts w:hint="default" w:ascii="Times New Roman" w:hAnsi="Times New Roman" w:eastAsia="宋体" w:cs="Times New Roman"/>
                      <w:color w:val="auto"/>
                      <w:highlight w:val="none"/>
                      <w:lang w:val="en-US" w:eastAsia="zh-CN"/>
                    </w:rPr>
                  </w:pPr>
                  <w:r>
                    <w:rPr>
                      <w:rFonts w:hint="eastAsia"/>
                      <w:color w:val="auto"/>
                      <w:lang w:val="en-US" w:eastAsia="zh-CN"/>
                    </w:rPr>
                    <w:t>进罐收集后交第三方岩屑处置单位处置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257" w:type="pct"/>
                  <w:vAlign w:val="center"/>
                </w:tcPr>
                <w:p>
                  <w:pPr>
                    <w:pStyle w:val="35"/>
                    <w:bidi w:val="0"/>
                    <w:contextualSpacing/>
                    <w:rPr>
                      <w:rFonts w:hint="default"/>
                      <w:color w:val="auto"/>
                      <w:lang w:val="en-US" w:eastAsia="zh-CN"/>
                    </w:rPr>
                  </w:pPr>
                  <w:r>
                    <w:rPr>
                      <w:rFonts w:hint="eastAsia"/>
                      <w:color w:val="auto"/>
                      <w:lang w:val="en-US" w:eastAsia="zh-CN"/>
                    </w:rPr>
                    <w:t>2</w:t>
                  </w:r>
                </w:p>
              </w:tc>
              <w:tc>
                <w:tcPr>
                  <w:tcW w:w="596" w:type="pct"/>
                  <w:vAlign w:val="center"/>
                </w:tcPr>
                <w:p>
                  <w:pPr>
                    <w:pStyle w:val="35"/>
                    <w:bidi w:val="0"/>
                    <w:contextualSpacing/>
                    <w:rPr>
                      <w:rFonts w:hint="default"/>
                      <w:color w:val="auto"/>
                      <w:lang w:val="en-US" w:eastAsia="zh-CN"/>
                    </w:rPr>
                  </w:pPr>
                  <w:r>
                    <w:rPr>
                      <w:rFonts w:hint="eastAsia"/>
                      <w:color w:val="auto"/>
                      <w:lang w:val="en-US" w:eastAsia="zh-CN"/>
                    </w:rPr>
                    <w:t>油基钻井岩屑</w:t>
                  </w:r>
                </w:p>
              </w:tc>
              <w:tc>
                <w:tcPr>
                  <w:tcW w:w="1242" w:type="pct"/>
                  <w:vAlign w:val="center"/>
                </w:tcPr>
                <w:p>
                  <w:pPr>
                    <w:pStyle w:val="35"/>
                    <w:bidi w:val="0"/>
                    <w:contextualSpacing/>
                    <w:rPr>
                      <w:rFonts w:hint="default"/>
                      <w:color w:val="auto"/>
                      <w:lang w:val="en-US" w:eastAsia="zh-CN"/>
                    </w:rPr>
                  </w:pPr>
                  <w:r>
                    <w:rPr>
                      <w:rFonts w:hint="eastAsia"/>
                      <w:color w:val="auto"/>
                      <w:lang w:val="en-US" w:eastAsia="zh-CN"/>
                    </w:rPr>
                    <w:t>危险废物/HW08类（代码</w:t>
                  </w:r>
                  <w:r>
                    <w:rPr>
                      <w:rFonts w:hint="eastAsia" w:cs="宋体"/>
                      <w:color w:val="auto"/>
                    </w:rPr>
                    <w:t>071-002-08</w:t>
                  </w:r>
                  <w:r>
                    <w:rPr>
                      <w:rFonts w:hint="eastAsia"/>
                      <w:color w:val="auto"/>
                      <w:lang w:val="en-US" w:eastAsia="zh-CN"/>
                    </w:rPr>
                    <w:t>）</w:t>
                  </w:r>
                </w:p>
              </w:tc>
              <w:tc>
                <w:tcPr>
                  <w:tcW w:w="596" w:type="pct"/>
                  <w:vAlign w:val="center"/>
                </w:tcPr>
                <w:p>
                  <w:pPr>
                    <w:pStyle w:val="35"/>
                    <w:bidi w:val="0"/>
                    <w:contextualSpacing/>
                    <w:rPr>
                      <w:rFonts w:hint="eastAsia"/>
                      <w:color w:val="auto"/>
                      <w:lang w:val="en-US" w:eastAsia="zh-CN"/>
                    </w:rPr>
                  </w:pPr>
                  <w:r>
                    <w:rPr>
                      <w:rFonts w:hint="eastAsia" w:cs="Times New Roman"/>
                      <w:b w:val="0"/>
                      <w:bCs w:val="0"/>
                      <w:color w:val="auto"/>
                      <w:lang w:val="en-US" w:eastAsia="zh-CN"/>
                    </w:rPr>
                    <w:t>3616.38t</w:t>
                  </w:r>
                </w:p>
              </w:tc>
              <w:tc>
                <w:tcPr>
                  <w:tcW w:w="1008" w:type="pct"/>
                  <w:vAlign w:val="center"/>
                </w:tcPr>
                <w:p>
                  <w:pPr>
                    <w:pStyle w:val="35"/>
                    <w:bidi w:val="0"/>
                    <w:contextualSpacing/>
                    <w:rPr>
                      <w:rFonts w:hint="eastAsia" w:ascii="Times New Roman" w:hAnsi="Times New Roman" w:eastAsia="宋体" w:cs="Times New Roman"/>
                      <w:color w:val="auto"/>
                      <w:kern w:val="2"/>
                      <w:sz w:val="21"/>
                      <w:szCs w:val="21"/>
                      <w:highlight w:val="none"/>
                      <w:lang w:val="en-US" w:eastAsia="zh-CN" w:bidi="ar-SA"/>
                    </w:rPr>
                  </w:pPr>
                  <w:r>
                    <w:rPr>
                      <w:rFonts w:hint="eastAsia"/>
                      <w:color w:val="auto"/>
                      <w:lang w:val="en-US" w:eastAsia="zh-CN"/>
                    </w:rPr>
                    <w:t>25m</w:t>
                  </w:r>
                  <w:r>
                    <w:rPr>
                      <w:rFonts w:hint="eastAsia"/>
                      <w:color w:val="auto"/>
                      <w:vertAlign w:val="superscript"/>
                      <w:lang w:val="en-US" w:eastAsia="zh-CN"/>
                    </w:rPr>
                    <w:t>3</w:t>
                  </w:r>
                  <w:r>
                    <w:rPr>
                      <w:rFonts w:hint="eastAsia" w:ascii="Times New Roman" w:eastAsia="宋体"/>
                      <w:color w:val="auto"/>
                      <w:lang w:val="en-US" w:eastAsia="zh-CN"/>
                    </w:rPr>
                    <w:t>专用方罐</w:t>
                  </w:r>
                </w:p>
              </w:tc>
              <w:tc>
                <w:tcPr>
                  <w:tcW w:w="1299" w:type="pct"/>
                  <w:vAlign w:val="center"/>
                </w:tcPr>
                <w:p>
                  <w:pPr>
                    <w:pStyle w:val="35"/>
                    <w:bidi w:val="0"/>
                    <w:contextualSpacing/>
                    <w:rPr>
                      <w:rFonts w:hint="eastAsia" w:ascii="Times New Roman" w:hAnsi="Times New Roman" w:eastAsia="宋体" w:cs="Times New Roman"/>
                      <w:color w:val="auto"/>
                      <w:kern w:val="2"/>
                      <w:sz w:val="21"/>
                      <w:szCs w:val="21"/>
                      <w:highlight w:val="none"/>
                      <w:lang w:val="en-US" w:eastAsia="zh-CN" w:bidi="ar-SA"/>
                    </w:rPr>
                  </w:pPr>
                  <w:r>
                    <w:rPr>
                      <w:rFonts w:hint="eastAsia"/>
                      <w:color w:val="auto"/>
                      <w:lang w:val="en-US" w:eastAsia="zh-CN"/>
                    </w:rPr>
                    <w:t>罐收集后交第三方岩屑处置单位处置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257" w:type="pct"/>
                  <w:vAlign w:val="center"/>
                </w:tcPr>
                <w:p>
                  <w:pPr>
                    <w:pStyle w:val="35"/>
                    <w:bidi w:val="0"/>
                    <w:contextualSpacing/>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3</w:t>
                  </w:r>
                </w:p>
              </w:tc>
              <w:tc>
                <w:tcPr>
                  <w:tcW w:w="596" w:type="pct"/>
                  <w:vAlign w:val="center"/>
                </w:tcPr>
                <w:p>
                  <w:pPr>
                    <w:pStyle w:val="35"/>
                    <w:bidi w:val="0"/>
                    <w:contextualSpacing/>
                    <w:rPr>
                      <w:rFonts w:hint="default" w:ascii="Times New Roman" w:hAnsi="Times New Roman" w:cs="Times New Roman"/>
                      <w:color w:val="auto"/>
                      <w:highlight w:val="none"/>
                    </w:rPr>
                  </w:pPr>
                  <w:r>
                    <w:rPr>
                      <w:rFonts w:hint="default"/>
                      <w:color w:val="auto"/>
                    </w:rPr>
                    <w:t>沾油废防渗材料</w:t>
                  </w:r>
                </w:p>
              </w:tc>
              <w:tc>
                <w:tcPr>
                  <w:tcW w:w="1242" w:type="pct"/>
                  <w:vAlign w:val="center"/>
                </w:tcPr>
                <w:p>
                  <w:pPr>
                    <w:pStyle w:val="35"/>
                    <w:bidi w:val="0"/>
                    <w:contextualSpacing/>
                    <w:rPr>
                      <w:rFonts w:hint="eastAsia" w:ascii="Times New Roman" w:hAnsi="Times New Roman" w:eastAsia="宋体" w:cs="Times New Roman"/>
                      <w:color w:val="auto"/>
                      <w:highlight w:val="none"/>
                      <w:lang w:val="en-US" w:eastAsia="zh-CN"/>
                    </w:rPr>
                  </w:pPr>
                  <w:r>
                    <w:rPr>
                      <w:rFonts w:hint="eastAsia"/>
                      <w:color w:val="auto"/>
                      <w:lang w:val="en-US" w:eastAsia="zh-CN"/>
                    </w:rPr>
                    <w:t>危险废物/</w:t>
                  </w:r>
                  <w:r>
                    <w:rPr>
                      <w:rFonts w:hint="default"/>
                      <w:color w:val="auto"/>
                    </w:rPr>
                    <w:t>HW08类危险废物</w:t>
                  </w:r>
                  <w:r>
                    <w:rPr>
                      <w:rFonts w:hint="eastAsia" w:ascii="Times New Roman" w:eastAsia="宋体"/>
                      <w:color w:val="auto"/>
                      <w:lang w:val="en-US" w:eastAsia="zh-CN"/>
                    </w:rPr>
                    <w:t>（代码</w:t>
                  </w:r>
                  <w:r>
                    <w:rPr>
                      <w:rFonts w:hint="default"/>
                      <w:color w:val="auto"/>
                    </w:rPr>
                    <w:t>900-249-08</w:t>
                  </w:r>
                  <w:r>
                    <w:rPr>
                      <w:rFonts w:hint="eastAsia"/>
                      <w:color w:val="auto"/>
                      <w:lang w:eastAsia="zh-CN"/>
                    </w:rPr>
                    <w:t>）</w:t>
                  </w:r>
                </w:p>
              </w:tc>
              <w:tc>
                <w:tcPr>
                  <w:tcW w:w="596" w:type="pct"/>
                  <w:vAlign w:val="center"/>
                </w:tcPr>
                <w:p>
                  <w:pPr>
                    <w:pStyle w:val="35"/>
                    <w:bidi w:val="0"/>
                    <w:contextualSpacing/>
                    <w:rPr>
                      <w:rFonts w:hint="default" w:ascii="Times New Roman" w:hAnsi="Times New Roman" w:eastAsia="宋体" w:cs="Times New Roman"/>
                      <w:color w:val="auto"/>
                      <w:highlight w:val="none"/>
                      <w:lang w:val="en-US" w:eastAsia="zh-CN"/>
                    </w:rPr>
                  </w:pPr>
                  <w:r>
                    <w:rPr>
                      <w:rFonts w:hint="eastAsia"/>
                      <w:color w:val="auto"/>
                      <w:lang w:val="en-US" w:eastAsia="zh-CN"/>
                    </w:rPr>
                    <w:t>1.0t</w:t>
                  </w:r>
                </w:p>
              </w:tc>
              <w:tc>
                <w:tcPr>
                  <w:tcW w:w="1008"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exact"/>
                    <w:contextualSpacing/>
                    <w:jc w:val="center"/>
                    <w:textAlignment w:val="auto"/>
                    <w:rPr>
                      <w:rFonts w:hint="default" w:ascii="Times New Roman" w:hAnsi="Times New Roman" w:cs="Times New Roman"/>
                      <w:color w:val="auto"/>
                      <w:highlight w:val="none"/>
                      <w:lang w:val="en-US"/>
                    </w:rPr>
                  </w:pPr>
                  <w:r>
                    <w:rPr>
                      <w:rFonts w:hint="eastAsia" w:ascii="Times New Roman" w:hAnsi="Times New Roman" w:eastAsia="宋体" w:cs="Times New Roman"/>
                      <w:color w:val="auto"/>
                      <w:kern w:val="2"/>
                      <w:sz w:val="21"/>
                      <w:szCs w:val="21"/>
                      <w:lang w:val="en-US" w:eastAsia="zh-CN" w:bidi="ar-SA"/>
                    </w:rPr>
                    <w:t>危废贮存点</w:t>
                  </w:r>
                  <w:r>
                    <w:rPr>
                      <w:rFonts w:hint="eastAsia" w:cs="Times New Roman"/>
                      <w:color w:val="auto"/>
                      <w:kern w:val="2"/>
                      <w:sz w:val="21"/>
                      <w:szCs w:val="21"/>
                      <w:lang w:val="en-US" w:eastAsia="zh-CN" w:bidi="ar-SA"/>
                    </w:rPr>
                    <w:t>（</w:t>
                  </w:r>
                  <w:r>
                    <w:rPr>
                      <w:rFonts w:hint="eastAsia" w:ascii="Times New Roman" w:hAnsi="Times New Roman" w:eastAsia="宋体" w:cs="Times New Roman"/>
                      <w:color w:val="auto"/>
                      <w:kern w:val="2"/>
                      <w:sz w:val="21"/>
                      <w:szCs w:val="21"/>
                      <w:lang w:val="en-US" w:eastAsia="zh-CN" w:bidi="ar-SA"/>
                    </w:rPr>
                    <w:t>5m</w:t>
                  </w:r>
                  <w:r>
                    <w:rPr>
                      <w:rFonts w:hint="eastAsia" w:ascii="Times New Roman" w:hAnsi="Times New Roman" w:eastAsia="宋体" w:cs="Times New Roman"/>
                      <w:color w:val="auto"/>
                      <w:kern w:val="2"/>
                      <w:sz w:val="21"/>
                      <w:szCs w:val="21"/>
                      <w:vertAlign w:val="superscript"/>
                      <w:lang w:val="en-US" w:eastAsia="zh-CN" w:bidi="ar-SA"/>
                    </w:rPr>
                    <w:t>2</w:t>
                  </w:r>
                  <w:r>
                    <w:rPr>
                      <w:rFonts w:hint="eastAsia" w:cs="Times New Roman"/>
                      <w:color w:val="auto"/>
                      <w:kern w:val="2"/>
                      <w:sz w:val="21"/>
                      <w:szCs w:val="21"/>
                      <w:lang w:val="en-US" w:eastAsia="zh-CN" w:bidi="ar-SA"/>
                    </w:rPr>
                    <w:t>）</w:t>
                  </w:r>
                  <w:r>
                    <w:rPr>
                      <w:rFonts w:hint="eastAsia" w:cs="Times New Roman"/>
                      <w:color w:val="auto"/>
                      <w:kern w:val="2"/>
                      <w:sz w:val="21"/>
                      <w:szCs w:val="21"/>
                      <w:vertAlign w:val="baseline"/>
                      <w:lang w:val="en-US" w:eastAsia="zh-CN" w:bidi="ar-SA"/>
                    </w:rPr>
                    <w:t>，包装桶</w:t>
                  </w:r>
                  <w:r>
                    <w:rPr>
                      <w:rFonts w:hint="eastAsia" w:ascii="Times New Roman" w:hAnsi="Times New Roman" w:eastAsia="宋体" w:cs="Times New Roman"/>
                      <w:color w:val="auto"/>
                      <w:kern w:val="2"/>
                      <w:sz w:val="21"/>
                      <w:szCs w:val="21"/>
                      <w:lang w:val="en-US" w:eastAsia="zh-CN" w:bidi="ar-SA"/>
                    </w:rPr>
                    <w:t>带盖，</w:t>
                  </w:r>
                  <w:r>
                    <w:rPr>
                      <w:rFonts w:hint="eastAsia" w:cs="Times New Roman"/>
                      <w:color w:val="auto"/>
                      <w:kern w:val="2"/>
                      <w:sz w:val="21"/>
                      <w:szCs w:val="21"/>
                      <w:lang w:val="en-US" w:eastAsia="zh-CN" w:bidi="ar-SA"/>
                    </w:rPr>
                    <w:t>底部</w:t>
                  </w:r>
                  <w:r>
                    <w:rPr>
                      <w:rFonts w:hint="eastAsia" w:ascii="Times New Roman" w:hAnsi="Times New Roman" w:eastAsia="宋体" w:cs="Times New Roman"/>
                      <w:color w:val="auto"/>
                      <w:kern w:val="2"/>
                      <w:sz w:val="21"/>
                      <w:szCs w:val="21"/>
                      <w:lang w:val="en-US" w:eastAsia="zh-CN" w:bidi="ar-SA"/>
                    </w:rPr>
                    <w:t>设</w:t>
                  </w:r>
                  <w:r>
                    <w:rPr>
                      <w:rFonts w:hint="eastAsia" w:cs="Times New Roman"/>
                      <w:color w:val="auto"/>
                      <w:kern w:val="2"/>
                      <w:sz w:val="21"/>
                      <w:szCs w:val="21"/>
                      <w:lang w:val="en-US" w:eastAsia="zh-CN" w:bidi="ar-SA"/>
                    </w:rPr>
                    <w:t>防渗托盘</w:t>
                  </w:r>
                </w:p>
              </w:tc>
              <w:tc>
                <w:tcPr>
                  <w:tcW w:w="1299" w:type="pct"/>
                  <w:vMerge w:val="restart"/>
                  <w:vAlign w:val="center"/>
                </w:tcPr>
                <w:p>
                  <w:pPr>
                    <w:pStyle w:val="35"/>
                    <w:bidi w:val="0"/>
                    <w:contextualSpacing/>
                    <w:rPr>
                      <w:rFonts w:hint="default" w:ascii="Times New Roman" w:hAnsi="Times New Roman" w:eastAsia="宋体" w:cs="Times New Roman"/>
                      <w:color w:val="auto"/>
                      <w:highlight w:val="none"/>
                      <w:lang w:val="en-US" w:eastAsia="zh-CN"/>
                    </w:rPr>
                  </w:pPr>
                  <w:r>
                    <w:rPr>
                      <w:rFonts w:hint="default"/>
                      <w:color w:val="auto"/>
                    </w:rPr>
                    <w:t>分区暂存在危险废物贮存点</w:t>
                  </w:r>
                  <w:r>
                    <w:rPr>
                      <w:rFonts w:hint="eastAsia"/>
                      <w:color w:val="auto"/>
                      <w:lang w:eastAsia="zh-CN"/>
                    </w:rPr>
                    <w:t>，</w:t>
                  </w:r>
                  <w:r>
                    <w:rPr>
                      <w:rFonts w:hint="eastAsia"/>
                      <w:color w:val="auto"/>
                      <w:lang w:val="en-US" w:eastAsia="zh-CN"/>
                    </w:rPr>
                    <w:t>交</w:t>
                  </w:r>
                  <w:r>
                    <w:rPr>
                      <w:rFonts w:hint="default"/>
                      <w:color w:val="auto"/>
                    </w:rPr>
                    <w:t>由具有相应危险废物处置资质的单位进行接收、转运和处置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257" w:type="pct"/>
                  <w:vAlign w:val="center"/>
                </w:tcPr>
                <w:p>
                  <w:pPr>
                    <w:pStyle w:val="35"/>
                    <w:bidi w:val="0"/>
                    <w:contextualSpacing/>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4</w:t>
                  </w:r>
                </w:p>
              </w:tc>
              <w:tc>
                <w:tcPr>
                  <w:tcW w:w="596" w:type="pct"/>
                  <w:vAlign w:val="center"/>
                </w:tcPr>
                <w:p>
                  <w:pPr>
                    <w:pStyle w:val="35"/>
                    <w:bidi w:val="0"/>
                    <w:contextualSpacing/>
                    <w:rPr>
                      <w:rFonts w:hint="default" w:ascii="Times New Roman" w:hAnsi="Times New Roman" w:cs="Times New Roman"/>
                      <w:color w:val="auto"/>
                      <w:highlight w:val="none"/>
                    </w:rPr>
                  </w:pPr>
                  <w:bookmarkStart w:id="98" w:name="OLE_LINK57"/>
                  <w:r>
                    <w:rPr>
                      <w:rFonts w:hint="default"/>
                      <w:color w:val="auto"/>
                    </w:rPr>
                    <w:t>废润滑油及废润滑油桶</w:t>
                  </w:r>
                  <w:bookmarkEnd w:id="98"/>
                </w:p>
              </w:tc>
              <w:tc>
                <w:tcPr>
                  <w:tcW w:w="1242" w:type="pct"/>
                  <w:shd w:val="clear" w:color="auto" w:fill="auto"/>
                  <w:vAlign w:val="center"/>
                </w:tcPr>
                <w:p>
                  <w:pPr>
                    <w:pStyle w:val="35"/>
                    <w:bidi w:val="0"/>
                    <w:contextualSpacing/>
                    <w:rPr>
                      <w:rFonts w:hint="eastAsia" w:ascii="Times New Roman" w:hAnsi="Times New Roman" w:eastAsia="宋体" w:cs="Times New Roman"/>
                      <w:color w:val="auto"/>
                      <w:kern w:val="0"/>
                      <w:szCs w:val="21"/>
                      <w:highlight w:val="none"/>
                      <w:lang w:val="en-US" w:eastAsia="zh-CN" w:bidi="ar-SA"/>
                    </w:rPr>
                  </w:pPr>
                  <w:r>
                    <w:rPr>
                      <w:rFonts w:hint="eastAsia"/>
                      <w:color w:val="auto"/>
                      <w:lang w:val="en-US" w:eastAsia="zh-CN"/>
                    </w:rPr>
                    <w:t>危险废物/</w:t>
                  </w:r>
                  <w:r>
                    <w:rPr>
                      <w:rFonts w:hint="default"/>
                      <w:color w:val="auto"/>
                    </w:rPr>
                    <w:t>HW08类危险废物</w:t>
                  </w:r>
                  <w:r>
                    <w:rPr>
                      <w:rFonts w:hint="eastAsia"/>
                      <w:color w:val="auto"/>
                      <w:lang w:eastAsia="zh-CN"/>
                    </w:rPr>
                    <w:t>（</w:t>
                  </w:r>
                  <w:r>
                    <w:rPr>
                      <w:rFonts w:hint="default"/>
                      <w:color w:val="auto"/>
                    </w:rPr>
                    <w:t>废润滑油</w:t>
                  </w:r>
                  <w:r>
                    <w:rPr>
                      <w:rFonts w:hint="eastAsia"/>
                      <w:color w:val="auto"/>
                      <w:lang w:val="en-US" w:eastAsia="zh-CN"/>
                    </w:rPr>
                    <w:t>代码</w:t>
                  </w:r>
                  <w:r>
                    <w:rPr>
                      <w:rFonts w:hint="default"/>
                      <w:color w:val="auto"/>
                    </w:rPr>
                    <w:t>900-2</w:t>
                  </w:r>
                  <w:r>
                    <w:rPr>
                      <w:rFonts w:hint="eastAsia"/>
                      <w:color w:val="auto"/>
                      <w:lang w:val="en-US" w:eastAsia="zh-CN"/>
                    </w:rPr>
                    <w:t>14</w:t>
                  </w:r>
                  <w:r>
                    <w:rPr>
                      <w:rFonts w:hint="default"/>
                      <w:color w:val="auto"/>
                    </w:rPr>
                    <w:t>-08</w:t>
                  </w:r>
                  <w:r>
                    <w:rPr>
                      <w:rFonts w:hint="eastAsia"/>
                      <w:color w:val="auto"/>
                      <w:lang w:eastAsia="zh-CN"/>
                    </w:rPr>
                    <w:t>、</w:t>
                  </w:r>
                  <w:r>
                    <w:rPr>
                      <w:rFonts w:hint="default"/>
                      <w:color w:val="auto"/>
                    </w:rPr>
                    <w:t>废润滑油桶</w:t>
                  </w:r>
                  <w:r>
                    <w:rPr>
                      <w:rFonts w:hint="eastAsia"/>
                      <w:color w:val="auto"/>
                      <w:lang w:val="en-US" w:eastAsia="zh-CN"/>
                    </w:rPr>
                    <w:t>代码</w:t>
                  </w:r>
                  <w:r>
                    <w:rPr>
                      <w:rFonts w:hint="eastAsia"/>
                      <w:color w:val="auto"/>
                      <w:lang w:eastAsia="zh-CN"/>
                    </w:rPr>
                    <w:t>900-249-08</w:t>
                  </w:r>
                  <w:r>
                    <w:rPr>
                      <w:rFonts w:hint="eastAsia" w:eastAsia="宋体"/>
                      <w:color w:val="auto"/>
                      <w:lang w:eastAsia="zh-CN"/>
                    </w:rPr>
                    <w:t>）</w:t>
                  </w:r>
                </w:p>
              </w:tc>
              <w:tc>
                <w:tcPr>
                  <w:tcW w:w="596" w:type="pct"/>
                  <w:vAlign w:val="center"/>
                </w:tcPr>
                <w:p>
                  <w:pPr>
                    <w:pStyle w:val="35"/>
                    <w:bidi w:val="0"/>
                    <w:contextualSpacing/>
                    <w:rPr>
                      <w:rFonts w:hint="default" w:ascii="Times New Roman" w:hAnsi="Times New Roman" w:eastAsia="宋体" w:cs="Times New Roman"/>
                      <w:color w:val="auto"/>
                      <w:highlight w:val="none"/>
                      <w:lang w:val="en-US" w:eastAsia="zh-CN"/>
                    </w:rPr>
                  </w:pPr>
                  <w:r>
                    <w:rPr>
                      <w:rFonts w:hint="eastAsia"/>
                      <w:color w:val="auto"/>
                      <w:lang w:val="en-US" w:eastAsia="zh-CN"/>
                    </w:rPr>
                    <w:t>0.5t</w:t>
                  </w:r>
                </w:p>
              </w:tc>
              <w:tc>
                <w:tcPr>
                  <w:tcW w:w="1008"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exact"/>
                    <w:contextualSpacing/>
                    <w:jc w:val="center"/>
                    <w:textAlignment w:val="auto"/>
                    <w:rPr>
                      <w:rFonts w:hint="default" w:ascii="Times New Roman" w:hAnsi="Times New Roman" w:cs="Times New Roman"/>
                      <w:color w:val="auto"/>
                      <w:highlight w:val="none"/>
                      <w:lang w:val="en-US"/>
                    </w:rPr>
                  </w:pPr>
                </w:p>
              </w:tc>
              <w:tc>
                <w:tcPr>
                  <w:tcW w:w="1299" w:type="pct"/>
                  <w:vMerge w:val="continue"/>
                  <w:shd w:val="clear" w:color="auto" w:fill="auto"/>
                  <w:vAlign w:val="center"/>
                </w:tcPr>
                <w:p>
                  <w:pPr>
                    <w:pStyle w:val="35"/>
                    <w:bidi w:val="0"/>
                    <w:contextualSpacing/>
                    <w:rPr>
                      <w:rFonts w:hint="default" w:ascii="Times New Roman" w:hAnsi="Times New Roman" w:eastAsia="宋体" w:cs="Times New Roman"/>
                      <w:color w:val="auto"/>
                      <w:kern w:val="0"/>
                      <w:szCs w:val="21"/>
                      <w:highlight w:val="none"/>
                      <w:lang w:val="en-US" w:eastAsia="zh-CN" w:bidi="ar-SA"/>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257" w:type="pct"/>
                  <w:vAlign w:val="center"/>
                </w:tcPr>
                <w:p>
                  <w:pPr>
                    <w:pStyle w:val="35"/>
                    <w:bidi w:val="0"/>
                    <w:contextualSpacing/>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5</w:t>
                  </w:r>
                </w:p>
              </w:tc>
              <w:tc>
                <w:tcPr>
                  <w:tcW w:w="596" w:type="pct"/>
                  <w:vAlign w:val="center"/>
                </w:tcPr>
                <w:p>
                  <w:pPr>
                    <w:pStyle w:val="35"/>
                    <w:bidi w:val="0"/>
                    <w:contextualSpacing/>
                    <w:rPr>
                      <w:rFonts w:hint="default" w:ascii="Times New Roman" w:hAnsi="Times New Roman" w:cs="Times New Roman"/>
                      <w:color w:val="auto"/>
                      <w:highlight w:val="none"/>
                    </w:rPr>
                  </w:pPr>
                  <w:r>
                    <w:rPr>
                      <w:rFonts w:hint="default"/>
                      <w:color w:val="auto"/>
                    </w:rPr>
                    <w:t>生活垃圾</w:t>
                  </w:r>
                </w:p>
              </w:tc>
              <w:tc>
                <w:tcPr>
                  <w:tcW w:w="1242" w:type="pct"/>
                  <w:vAlign w:val="center"/>
                </w:tcPr>
                <w:p>
                  <w:pPr>
                    <w:pStyle w:val="35"/>
                    <w:bidi w:val="0"/>
                    <w:contextualSpacing/>
                    <w:rPr>
                      <w:rFonts w:hint="default" w:ascii="Times New Roman" w:hAnsi="Times New Roman" w:eastAsia="宋体" w:cs="Times New Roman"/>
                      <w:color w:val="auto"/>
                      <w:highlight w:val="none"/>
                      <w:lang w:val="en-US" w:eastAsia="zh-CN"/>
                    </w:rPr>
                  </w:pPr>
                  <w:r>
                    <w:rPr>
                      <w:rFonts w:hint="eastAsia"/>
                      <w:color w:val="auto"/>
                      <w:lang w:val="en-US" w:eastAsia="zh-CN"/>
                    </w:rPr>
                    <w:t>生活垃圾</w:t>
                  </w:r>
                </w:p>
              </w:tc>
              <w:tc>
                <w:tcPr>
                  <w:tcW w:w="596" w:type="pct"/>
                  <w:vAlign w:val="center"/>
                </w:tcPr>
                <w:p>
                  <w:pPr>
                    <w:pStyle w:val="35"/>
                    <w:bidi w:val="0"/>
                    <w:contextualSpacing/>
                    <w:rPr>
                      <w:rFonts w:hint="default" w:ascii="Times New Roman" w:hAnsi="Times New Roman" w:eastAsia="宋体" w:cs="Times New Roman"/>
                      <w:color w:val="auto"/>
                      <w:highlight w:val="none"/>
                      <w:lang w:val="en-US" w:eastAsia="zh-CN"/>
                    </w:rPr>
                  </w:pPr>
                  <w:r>
                    <w:rPr>
                      <w:rFonts w:hint="eastAsia"/>
                      <w:color w:val="auto"/>
                      <w:lang w:val="en-US" w:eastAsia="zh-CN"/>
                    </w:rPr>
                    <w:t>0.91t</w:t>
                  </w:r>
                </w:p>
              </w:tc>
              <w:tc>
                <w:tcPr>
                  <w:tcW w:w="1008" w:type="pct"/>
                  <w:vAlign w:val="center"/>
                </w:tcPr>
                <w:p>
                  <w:pPr>
                    <w:pStyle w:val="35"/>
                    <w:bidi w:val="0"/>
                    <w:contextualSpacing/>
                    <w:rPr>
                      <w:rFonts w:hint="eastAsia" w:ascii="Times New Roman" w:hAnsi="Times New Roman" w:eastAsia="宋体" w:cs="Times New Roman"/>
                      <w:color w:val="auto"/>
                      <w:highlight w:val="none"/>
                      <w:lang w:val="en-US" w:eastAsia="zh-CN"/>
                    </w:rPr>
                  </w:pPr>
                  <w:r>
                    <w:rPr>
                      <w:rFonts w:hint="eastAsia"/>
                      <w:color w:val="auto"/>
                      <w:lang w:val="en-US" w:eastAsia="zh-CN"/>
                    </w:rPr>
                    <w:t>若干垃圾箱，箱底设防渗膜，上部遮盖篷布</w:t>
                  </w:r>
                </w:p>
              </w:tc>
              <w:tc>
                <w:tcPr>
                  <w:tcW w:w="1299" w:type="pct"/>
                  <w:vAlign w:val="center"/>
                </w:tcPr>
                <w:p>
                  <w:pPr>
                    <w:pStyle w:val="35"/>
                    <w:bidi w:val="0"/>
                    <w:contextualSpacing/>
                    <w:rPr>
                      <w:rFonts w:hint="default" w:ascii="Times New Roman" w:hAnsi="Times New Roman" w:cs="Times New Roman"/>
                      <w:color w:val="auto"/>
                      <w:highlight w:val="none"/>
                    </w:rPr>
                  </w:pPr>
                  <w:r>
                    <w:rPr>
                      <w:rFonts w:hint="default"/>
                      <w:color w:val="auto"/>
                    </w:rPr>
                    <w:t>集中收集后委托拉运至</w:t>
                  </w:r>
                  <w:r>
                    <w:rPr>
                      <w:rFonts w:hint="eastAsia"/>
                      <w:color w:val="auto"/>
                      <w:lang w:eastAsia="zh-CN"/>
                    </w:rPr>
                    <w:t>呼图壁县生活垃圾填埋场</w:t>
                  </w:r>
                  <w:r>
                    <w:rPr>
                      <w:rFonts w:hint="default"/>
                      <w:color w:val="auto"/>
                    </w:rPr>
                    <w:t>处置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257" w:type="pct"/>
                  <w:vAlign w:val="center"/>
                </w:tcPr>
                <w:p>
                  <w:pPr>
                    <w:pStyle w:val="35"/>
                    <w:bidi w:val="0"/>
                    <w:contextualSpacing/>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6</w:t>
                  </w:r>
                </w:p>
              </w:tc>
              <w:tc>
                <w:tcPr>
                  <w:tcW w:w="596" w:type="pct"/>
                  <w:vAlign w:val="center"/>
                </w:tcPr>
                <w:p>
                  <w:pPr>
                    <w:pStyle w:val="35"/>
                    <w:bidi w:val="0"/>
                    <w:contextualSpacing/>
                    <w:rPr>
                      <w:rFonts w:hint="default" w:ascii="Times New Roman" w:hAnsi="Times New Roman" w:eastAsia="宋体" w:cs="Times New Roman"/>
                      <w:color w:val="auto"/>
                      <w:lang w:val="en-US" w:eastAsia="zh-CN"/>
                    </w:rPr>
                  </w:pPr>
                  <w:r>
                    <w:rPr>
                      <w:rFonts w:hint="eastAsia"/>
                      <w:color w:val="auto"/>
                      <w:lang w:val="en-US" w:eastAsia="zh-CN"/>
                    </w:rPr>
                    <w:t>建筑垃圾</w:t>
                  </w:r>
                </w:p>
              </w:tc>
              <w:tc>
                <w:tcPr>
                  <w:tcW w:w="1242" w:type="pct"/>
                  <w:vAlign w:val="center"/>
                </w:tcPr>
                <w:p>
                  <w:pPr>
                    <w:pStyle w:val="35"/>
                    <w:bidi w:val="0"/>
                    <w:contextualSpacing/>
                    <w:rPr>
                      <w:rFonts w:hint="default" w:ascii="Times New Roman" w:hAnsi="Times New Roman" w:cs="Times New Roman"/>
                      <w:color w:val="auto"/>
                      <w:highlight w:val="none"/>
                      <w:lang w:val="en-US" w:eastAsia="zh-CN"/>
                    </w:rPr>
                  </w:pPr>
                  <w:r>
                    <w:rPr>
                      <w:rFonts w:hint="eastAsia"/>
                      <w:color w:val="auto"/>
                      <w:lang w:val="en-US" w:eastAsia="zh-CN"/>
                    </w:rPr>
                    <w:t>建筑垃圾/</w:t>
                  </w:r>
                  <w:bookmarkStart w:id="99" w:name="OLE_LINK28"/>
                  <w:r>
                    <w:rPr>
                      <w:rFonts w:hint="eastAsia"/>
                      <w:color w:val="auto"/>
                      <w:lang w:val="en-US" w:eastAsia="zh-CN"/>
                    </w:rPr>
                    <w:t>SW7</w:t>
                  </w:r>
                  <w:bookmarkEnd w:id="99"/>
                  <w:r>
                    <w:rPr>
                      <w:rFonts w:hint="eastAsia"/>
                      <w:color w:val="auto"/>
                      <w:lang w:val="en-US" w:eastAsia="zh-CN"/>
                    </w:rPr>
                    <w:t>2类</w:t>
                  </w:r>
                </w:p>
              </w:tc>
              <w:tc>
                <w:tcPr>
                  <w:tcW w:w="596" w:type="pct"/>
                  <w:vAlign w:val="center"/>
                </w:tcPr>
                <w:p>
                  <w:pPr>
                    <w:pStyle w:val="35"/>
                    <w:bidi w:val="0"/>
                    <w:contextualSpacing/>
                    <w:rPr>
                      <w:rFonts w:hint="default" w:ascii="Times New Roman" w:hAnsi="Times New Roman" w:cs="Times New Roman"/>
                      <w:color w:val="auto"/>
                      <w:highlight w:val="none"/>
                      <w:lang w:val="en-US" w:eastAsia="zh-CN"/>
                    </w:rPr>
                  </w:pPr>
                  <w:r>
                    <w:rPr>
                      <w:rFonts w:hint="eastAsia"/>
                      <w:color w:val="auto"/>
                      <w:lang w:val="en-US" w:eastAsia="zh-CN"/>
                    </w:rPr>
                    <w:t>少量</w:t>
                  </w:r>
                </w:p>
              </w:tc>
              <w:tc>
                <w:tcPr>
                  <w:tcW w:w="1008" w:type="pct"/>
                  <w:shd w:val="clear" w:color="auto" w:fill="auto"/>
                  <w:vAlign w:val="center"/>
                </w:tcPr>
                <w:p>
                  <w:pPr>
                    <w:pStyle w:val="35"/>
                    <w:bidi w:val="0"/>
                    <w:contextualSpacing/>
                    <w:rPr>
                      <w:rFonts w:hint="default" w:ascii="Times New Roman" w:hAnsi="Times New Roman" w:cs="Times New Roman"/>
                      <w:color w:val="auto"/>
                      <w:highlight w:val="none"/>
                      <w:lang w:val="en-US" w:eastAsia="zh-CN"/>
                    </w:rPr>
                  </w:pPr>
                  <w:r>
                    <w:rPr>
                      <w:rFonts w:hint="eastAsia"/>
                      <w:color w:val="auto"/>
                      <w:lang w:val="en-US" w:eastAsia="zh-CN"/>
                    </w:rPr>
                    <w:t>收集在专用垃圾箱内，上部遮盖篷布</w:t>
                  </w:r>
                </w:p>
              </w:tc>
              <w:tc>
                <w:tcPr>
                  <w:tcW w:w="1299" w:type="pct"/>
                  <w:vAlign w:val="center"/>
                </w:tcPr>
                <w:p>
                  <w:pPr>
                    <w:pStyle w:val="35"/>
                    <w:bidi w:val="0"/>
                    <w:contextualSpacing/>
                    <w:rPr>
                      <w:rFonts w:hint="default" w:ascii="Times New Roman" w:hAnsi="Times New Roman" w:cs="Times New Roman"/>
                      <w:color w:val="auto"/>
                      <w:highlight w:val="none"/>
                    </w:rPr>
                  </w:pPr>
                  <w:r>
                    <w:rPr>
                      <w:rFonts w:hint="eastAsia"/>
                      <w:color w:val="auto"/>
                      <w:lang w:val="en-US" w:eastAsia="zh-CN"/>
                    </w:rPr>
                    <w:t>集中收集后送至当地建筑垃圾填埋场</w:t>
                  </w:r>
                </w:p>
              </w:tc>
            </w:tr>
          </w:tbl>
          <w:p>
            <w:pPr>
              <w:pStyle w:val="10"/>
              <w:ind w:firstLine="480"/>
              <w:rPr>
                <w:rFonts w:hint="default" w:ascii="Times New Roman" w:hAnsi="Times New Roman" w:cs="Times New Roman"/>
                <w:b w:val="0"/>
                <w:bCs w:val="0"/>
                <w:color w:val="auto"/>
              </w:rPr>
            </w:pPr>
            <w:r>
              <w:rPr>
                <w:rFonts w:hint="default" w:ascii="Times New Roman" w:hAnsi="Times New Roman" w:cs="Times New Roman"/>
                <w:b w:val="0"/>
                <w:bCs w:val="0"/>
                <w:color w:val="auto"/>
              </w:rPr>
              <w:t>综上所述，施工期产生的固体废物可得到妥善处置，不会对周围环境造成不良影响。</w:t>
            </w:r>
          </w:p>
          <w:p>
            <w:pPr>
              <w:pStyle w:val="10"/>
              <w:bidi w:val="0"/>
              <w:rPr>
                <w:rFonts w:hint="default"/>
                <w:color w:val="auto"/>
                <w:lang w:val="en-US" w:eastAsia="zh-CN"/>
              </w:rPr>
            </w:pPr>
            <w:r>
              <w:rPr>
                <w:rFonts w:hint="eastAsia"/>
                <w:color w:val="auto"/>
                <w:lang w:val="en-US" w:eastAsia="zh-CN"/>
              </w:rPr>
              <w:t>项目</w:t>
            </w:r>
            <w:r>
              <w:rPr>
                <w:rFonts w:hint="eastAsia" w:ascii="Calibri" w:eastAsia="宋体"/>
                <w:color w:val="auto"/>
                <w:lang w:val="en-US" w:eastAsia="zh-CN"/>
              </w:rPr>
              <w:t>污染物产生位置及种类汇总如下表所示。</w:t>
            </w:r>
          </w:p>
          <w:p>
            <w:pPr>
              <w:pStyle w:val="56"/>
              <w:bidi w:val="0"/>
              <w:rPr>
                <w:rFonts w:hint="eastAsia"/>
                <w:color w:val="auto"/>
                <w:lang w:val="en-US" w:eastAsia="zh-CN"/>
              </w:rPr>
            </w:pPr>
            <w:r>
              <w:rPr>
                <w:rFonts w:hint="eastAsia"/>
                <w:color w:val="auto"/>
                <w:lang w:val="en-US" w:eastAsia="zh-CN"/>
              </w:rPr>
              <w:t>表4-7  污染物产生位置及种类汇总表</w:t>
            </w:r>
          </w:p>
          <w:tbl>
            <w:tblPr>
              <w:tblStyle w:val="28"/>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3" w:type="dxa"/>
                <w:bottom w:w="0" w:type="dxa"/>
                <w:right w:w="23" w:type="dxa"/>
              </w:tblCellMar>
            </w:tblPr>
            <w:tblGrid>
              <w:gridCol w:w="623"/>
              <w:gridCol w:w="1109"/>
              <w:gridCol w:w="1284"/>
              <w:gridCol w:w="1984"/>
              <w:gridCol w:w="1660"/>
              <w:gridCol w:w="105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04"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阶段</w:t>
                  </w:r>
                </w:p>
              </w:tc>
              <w:tc>
                <w:tcPr>
                  <w:tcW w:w="719"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产生位置</w:t>
                  </w:r>
                </w:p>
              </w:tc>
              <w:tc>
                <w:tcPr>
                  <w:tcW w:w="832"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污染物</w:t>
                  </w:r>
                </w:p>
              </w:tc>
              <w:tc>
                <w:tcPr>
                  <w:tcW w:w="1286"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产污环节</w:t>
                  </w:r>
                </w:p>
              </w:tc>
              <w:tc>
                <w:tcPr>
                  <w:tcW w:w="1076"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污染因子</w:t>
                  </w:r>
                </w:p>
              </w:tc>
              <w:tc>
                <w:tcPr>
                  <w:tcW w:w="681"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影响对象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04" w:type="pct"/>
                  <w:vMerge w:val="restar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钻前</w:t>
                  </w:r>
                </w:p>
              </w:tc>
              <w:tc>
                <w:tcPr>
                  <w:tcW w:w="719" w:type="pct"/>
                  <w:vMerge w:val="restar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井场、道路、生活营地</w:t>
                  </w:r>
                </w:p>
              </w:tc>
              <w:tc>
                <w:tcPr>
                  <w:tcW w:w="832"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施工扬尘</w:t>
                  </w:r>
                </w:p>
              </w:tc>
              <w:tc>
                <w:tcPr>
                  <w:tcW w:w="1286"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施工活动、车辆行驶</w:t>
                  </w:r>
                </w:p>
              </w:tc>
              <w:tc>
                <w:tcPr>
                  <w:tcW w:w="1076" w:type="pct"/>
                  <w:tcBorders>
                    <w:tl2br w:val="nil"/>
                    <w:tr2bl w:val="nil"/>
                  </w:tcBorders>
                  <w:shd w:val="clear" w:color="auto" w:fill="auto"/>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TSP</w:t>
                  </w:r>
                </w:p>
              </w:tc>
              <w:tc>
                <w:tcPr>
                  <w:tcW w:w="681"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大气环境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04"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719"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832"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施工噪声</w:t>
                  </w:r>
                </w:p>
              </w:tc>
              <w:tc>
                <w:tcPr>
                  <w:tcW w:w="1286"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施工设备、车辆</w:t>
                  </w:r>
                </w:p>
              </w:tc>
              <w:tc>
                <w:tcPr>
                  <w:tcW w:w="1076"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等效连续A声级</w:t>
                  </w:r>
                </w:p>
              </w:tc>
              <w:tc>
                <w:tcPr>
                  <w:tcW w:w="681"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声环境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04"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719"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832"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建筑垃圾</w:t>
                  </w:r>
                </w:p>
              </w:tc>
              <w:tc>
                <w:tcPr>
                  <w:tcW w:w="1286"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土石方、混凝土废渣、废包装、废模板等</w:t>
                  </w:r>
                </w:p>
              </w:tc>
              <w:tc>
                <w:tcPr>
                  <w:tcW w:w="1076"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c>
                <w:tcPr>
                  <w:tcW w:w="681"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04" w:type="pct"/>
                  <w:vMerge w:val="restar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钻井</w:t>
                  </w:r>
                </w:p>
              </w:tc>
              <w:tc>
                <w:tcPr>
                  <w:tcW w:w="719" w:type="pct"/>
                  <w:vMerge w:val="restar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井场</w:t>
                  </w:r>
                </w:p>
              </w:tc>
              <w:tc>
                <w:tcPr>
                  <w:tcW w:w="832" w:type="pct"/>
                  <w:vMerge w:val="restar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废气</w:t>
                  </w:r>
                </w:p>
              </w:tc>
              <w:tc>
                <w:tcPr>
                  <w:tcW w:w="1286"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柴油机、柴油发电机</w:t>
                  </w:r>
                </w:p>
              </w:tc>
              <w:tc>
                <w:tcPr>
                  <w:tcW w:w="1076"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SO</w:t>
                  </w:r>
                  <w:r>
                    <w:rPr>
                      <w:rFonts w:hint="default" w:ascii="Times New Roman" w:hAnsi="Times New Roman" w:cs="Times New Roman"/>
                      <w:color w:val="auto"/>
                      <w:sz w:val="21"/>
                      <w:szCs w:val="21"/>
                      <w:vertAlign w:val="subscript"/>
                      <w:lang w:val="en-US" w:eastAsia="zh-CN"/>
                    </w:rPr>
                    <w:t>2</w:t>
                  </w:r>
                  <w:r>
                    <w:rPr>
                      <w:rFonts w:hint="default" w:ascii="Times New Roman" w:hAnsi="Times New Roman" w:cs="Times New Roman"/>
                      <w:color w:val="auto"/>
                      <w:sz w:val="21"/>
                      <w:szCs w:val="21"/>
                      <w:lang w:val="en-US" w:eastAsia="zh-CN"/>
                    </w:rPr>
                    <w:t>、NOX、总烃、颗粒物</w:t>
                  </w:r>
                </w:p>
              </w:tc>
              <w:tc>
                <w:tcPr>
                  <w:tcW w:w="681" w:type="pct"/>
                  <w:vMerge w:val="restar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大气环境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04"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719"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832"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1286"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施工机械及车辆尾气</w:t>
                  </w:r>
                </w:p>
              </w:tc>
              <w:tc>
                <w:tcPr>
                  <w:tcW w:w="1076"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SO</w:t>
                  </w:r>
                  <w:r>
                    <w:rPr>
                      <w:rFonts w:hint="eastAsia" w:ascii="Times New Roman" w:hAnsi="Times New Roman" w:cs="Times New Roman"/>
                      <w:color w:val="auto"/>
                      <w:sz w:val="21"/>
                      <w:szCs w:val="21"/>
                      <w:lang w:val="en-US" w:eastAsia="zh-CN"/>
                    </w:rPr>
                    <w:t>=</w:t>
                  </w:r>
                  <w:r>
                    <w:rPr>
                      <w:rFonts w:hint="default" w:ascii="Times New Roman" w:hAnsi="Times New Roman" w:cs="Times New Roman"/>
                      <w:color w:val="auto"/>
                      <w:sz w:val="21"/>
                      <w:szCs w:val="21"/>
                      <w:lang w:val="en-US" w:eastAsia="zh-CN"/>
                    </w:rPr>
                    <w:t>、NOX、总烃、颗粒物</w:t>
                  </w:r>
                </w:p>
              </w:tc>
              <w:tc>
                <w:tcPr>
                  <w:tcW w:w="681"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04"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719"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832"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1286"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施工扬尘</w:t>
                  </w:r>
                </w:p>
              </w:tc>
              <w:tc>
                <w:tcPr>
                  <w:tcW w:w="1076"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TSP</w:t>
                  </w:r>
                </w:p>
              </w:tc>
              <w:tc>
                <w:tcPr>
                  <w:tcW w:w="681"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04"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719"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生活营地</w:t>
                  </w:r>
                </w:p>
              </w:tc>
              <w:tc>
                <w:tcPr>
                  <w:tcW w:w="832"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生活污水</w:t>
                  </w:r>
                </w:p>
              </w:tc>
              <w:tc>
                <w:tcPr>
                  <w:tcW w:w="1286"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生活用水</w:t>
                  </w:r>
                </w:p>
              </w:tc>
              <w:tc>
                <w:tcPr>
                  <w:tcW w:w="1076"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COD、SS、氨氮</w:t>
                  </w:r>
                </w:p>
              </w:tc>
              <w:tc>
                <w:tcPr>
                  <w:tcW w:w="681"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水环境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04"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719"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井场、道路</w:t>
                  </w:r>
                </w:p>
              </w:tc>
              <w:tc>
                <w:tcPr>
                  <w:tcW w:w="832"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噪声</w:t>
                  </w:r>
                </w:p>
              </w:tc>
              <w:tc>
                <w:tcPr>
                  <w:tcW w:w="1286"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施工机械、车辆</w:t>
                  </w:r>
                </w:p>
              </w:tc>
              <w:tc>
                <w:tcPr>
                  <w:tcW w:w="1076" w:type="pct"/>
                  <w:tcBorders>
                    <w:tl2br w:val="nil"/>
                    <w:tr2bl w:val="nil"/>
                  </w:tcBorders>
                  <w:shd w:val="clear" w:color="auto" w:fill="auto"/>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等效连续A声级</w:t>
                  </w:r>
                </w:p>
              </w:tc>
              <w:tc>
                <w:tcPr>
                  <w:tcW w:w="681" w:type="pct"/>
                  <w:tcBorders>
                    <w:tl2br w:val="nil"/>
                    <w:tr2bl w:val="nil"/>
                  </w:tcBorders>
                  <w:shd w:val="clear" w:color="auto" w:fill="auto"/>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声环境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04"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719" w:type="pct"/>
                  <w:vMerge w:val="restar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井场</w:t>
                  </w:r>
                </w:p>
              </w:tc>
              <w:tc>
                <w:tcPr>
                  <w:tcW w:w="832"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水基钻井岩屑</w:t>
                  </w:r>
                </w:p>
              </w:tc>
              <w:tc>
                <w:tcPr>
                  <w:tcW w:w="1286"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一开钻井</w:t>
                  </w:r>
                </w:p>
              </w:tc>
              <w:tc>
                <w:tcPr>
                  <w:tcW w:w="1076" w:type="pct"/>
                  <w:tcBorders>
                    <w:tl2br w:val="nil"/>
                    <w:tr2bl w:val="nil"/>
                  </w:tcBorders>
                  <w:shd w:val="clear" w:color="auto" w:fill="auto"/>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COD</w:t>
                  </w:r>
                </w:p>
              </w:tc>
              <w:tc>
                <w:tcPr>
                  <w:tcW w:w="681" w:type="pct"/>
                  <w:vMerge w:val="restart"/>
                  <w:tcBorders>
                    <w:tl2br w:val="nil"/>
                    <w:tr2bl w:val="nil"/>
                  </w:tcBorders>
                  <w:shd w:val="clear" w:color="auto" w:fill="auto"/>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土壤环境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04"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719"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832"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油基钻井岩屑</w:t>
                  </w:r>
                </w:p>
              </w:tc>
              <w:tc>
                <w:tcPr>
                  <w:tcW w:w="1286"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二开、三开钻井</w:t>
                  </w:r>
                </w:p>
              </w:tc>
              <w:tc>
                <w:tcPr>
                  <w:tcW w:w="1076" w:type="pct"/>
                  <w:tcBorders>
                    <w:tl2br w:val="nil"/>
                    <w:tr2bl w:val="nil"/>
                  </w:tcBorders>
                  <w:shd w:val="clear" w:color="auto" w:fill="auto"/>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矿物油、COD</w:t>
                  </w:r>
                </w:p>
              </w:tc>
              <w:tc>
                <w:tcPr>
                  <w:tcW w:w="681" w:type="pct"/>
                  <w:vMerge w:val="continue"/>
                  <w:tcBorders>
                    <w:tl2br w:val="nil"/>
                    <w:tr2bl w:val="nil"/>
                  </w:tcBorders>
                  <w:shd w:val="clear" w:color="auto" w:fill="auto"/>
                  <w:vAlign w:val="center"/>
                </w:tcPr>
                <w:p>
                  <w:pPr>
                    <w:pStyle w:val="35"/>
                    <w:bidi w:val="0"/>
                    <w:spacing w:line="240" w:lineRule="auto"/>
                    <w:rPr>
                      <w:rFonts w:hint="default" w:ascii="Times New Roman" w:hAnsi="Times New Roman" w:cs="Times New Roman"/>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04"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719"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832"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沾油废防渗材料</w:t>
                  </w:r>
                </w:p>
              </w:tc>
              <w:tc>
                <w:tcPr>
                  <w:tcW w:w="1286" w:type="pct"/>
                  <w:vMerge w:val="restart"/>
                  <w:tcBorders>
                    <w:tl2br w:val="nil"/>
                    <w:tr2bl w:val="nil"/>
                  </w:tcBorders>
                  <w:shd w:val="clear" w:color="auto" w:fill="auto"/>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设备保养、维护</w:t>
                  </w:r>
                </w:p>
              </w:tc>
              <w:tc>
                <w:tcPr>
                  <w:tcW w:w="1076" w:type="pct"/>
                  <w:tcBorders>
                    <w:tl2br w:val="nil"/>
                    <w:tr2bl w:val="nil"/>
                  </w:tcBorders>
                  <w:shd w:val="clear" w:color="auto" w:fill="auto"/>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废矿物油</w:t>
                  </w:r>
                </w:p>
              </w:tc>
              <w:tc>
                <w:tcPr>
                  <w:tcW w:w="681" w:type="pct"/>
                  <w:vMerge w:val="continue"/>
                  <w:tcBorders>
                    <w:tl2br w:val="nil"/>
                    <w:tr2bl w:val="nil"/>
                  </w:tcBorders>
                  <w:shd w:val="clear" w:color="auto" w:fill="auto"/>
                  <w:vAlign w:val="center"/>
                </w:tcPr>
                <w:p>
                  <w:pPr>
                    <w:pStyle w:val="35"/>
                    <w:bidi w:val="0"/>
                    <w:spacing w:line="240" w:lineRule="auto"/>
                    <w:rPr>
                      <w:rFonts w:hint="default" w:ascii="Times New Roman" w:hAnsi="Times New Roman" w:cs="Times New Roman"/>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04"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719"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832"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废润滑油及桶</w:t>
                  </w:r>
                </w:p>
              </w:tc>
              <w:tc>
                <w:tcPr>
                  <w:tcW w:w="1286"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1076" w:type="pct"/>
                  <w:tcBorders>
                    <w:tl2br w:val="nil"/>
                    <w:tr2bl w:val="nil"/>
                  </w:tcBorders>
                  <w:shd w:val="clear" w:color="auto" w:fill="auto"/>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废矿物油</w:t>
                  </w:r>
                </w:p>
              </w:tc>
              <w:tc>
                <w:tcPr>
                  <w:tcW w:w="681" w:type="pct"/>
                  <w:vMerge w:val="continue"/>
                  <w:tcBorders>
                    <w:tl2br w:val="nil"/>
                    <w:tr2bl w:val="nil"/>
                  </w:tcBorders>
                  <w:shd w:val="clear" w:color="auto" w:fill="auto"/>
                  <w:vAlign w:val="center"/>
                </w:tcPr>
                <w:p>
                  <w:pPr>
                    <w:pStyle w:val="35"/>
                    <w:bidi w:val="0"/>
                    <w:spacing w:line="240" w:lineRule="auto"/>
                    <w:rPr>
                      <w:rFonts w:hint="default" w:ascii="Times New Roman" w:hAnsi="Times New Roman" w:cs="Times New Roman"/>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04"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719"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生活营地</w:t>
                  </w:r>
                </w:p>
              </w:tc>
              <w:tc>
                <w:tcPr>
                  <w:tcW w:w="832"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生活垃圾</w:t>
                  </w:r>
                </w:p>
              </w:tc>
              <w:tc>
                <w:tcPr>
                  <w:tcW w:w="1286"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生活营地</w:t>
                  </w:r>
                </w:p>
              </w:tc>
              <w:tc>
                <w:tcPr>
                  <w:tcW w:w="1076"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c>
                <w:tcPr>
                  <w:tcW w:w="681"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04" w:type="pct"/>
                  <w:vMerge w:val="restar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试油</w:t>
                  </w:r>
                </w:p>
              </w:tc>
              <w:tc>
                <w:tcPr>
                  <w:tcW w:w="719" w:type="pct"/>
                  <w:vMerge w:val="restar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井场</w:t>
                  </w:r>
                </w:p>
              </w:tc>
              <w:tc>
                <w:tcPr>
                  <w:tcW w:w="832" w:type="pct"/>
                  <w:vMerge w:val="restar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废气</w:t>
                  </w:r>
                </w:p>
              </w:tc>
              <w:tc>
                <w:tcPr>
                  <w:tcW w:w="1286"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伴生气燃烧废气</w:t>
                  </w:r>
                </w:p>
              </w:tc>
              <w:tc>
                <w:tcPr>
                  <w:tcW w:w="1076" w:type="pct"/>
                  <w:tcBorders>
                    <w:tl2br w:val="nil"/>
                    <w:tr2bl w:val="nil"/>
                  </w:tcBorders>
                  <w:shd w:val="clear" w:color="auto" w:fill="auto"/>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SO</w:t>
                  </w:r>
                  <w:r>
                    <w:rPr>
                      <w:rFonts w:hint="default" w:ascii="Times New Roman" w:hAnsi="Times New Roman" w:cs="Times New Roman"/>
                      <w:color w:val="auto"/>
                      <w:sz w:val="21"/>
                      <w:szCs w:val="21"/>
                      <w:vertAlign w:val="subscript"/>
                      <w:lang w:val="en-US" w:eastAsia="zh-CN"/>
                    </w:rPr>
                    <w:t>2</w:t>
                  </w:r>
                  <w:r>
                    <w:rPr>
                      <w:rFonts w:hint="default" w:ascii="Times New Roman" w:hAnsi="Times New Roman" w:cs="Times New Roman"/>
                      <w:color w:val="auto"/>
                      <w:sz w:val="21"/>
                      <w:szCs w:val="21"/>
                      <w:lang w:val="en-US" w:eastAsia="zh-CN"/>
                    </w:rPr>
                    <w:t>、NO</w:t>
                  </w:r>
                  <w:r>
                    <w:rPr>
                      <w:rFonts w:hint="default" w:ascii="Times New Roman" w:hAnsi="Times New Roman" w:cs="Times New Roman"/>
                      <w:color w:val="auto"/>
                      <w:sz w:val="21"/>
                      <w:szCs w:val="21"/>
                      <w:vertAlign w:val="subscript"/>
                      <w:lang w:val="en-US" w:eastAsia="zh-CN"/>
                    </w:rPr>
                    <w:t>X</w:t>
                  </w:r>
                  <w:r>
                    <w:rPr>
                      <w:rFonts w:hint="default" w:ascii="Times New Roman" w:hAnsi="Times New Roman" w:cs="Times New Roman"/>
                      <w:color w:val="auto"/>
                      <w:sz w:val="21"/>
                      <w:szCs w:val="21"/>
                      <w:lang w:val="en-US" w:eastAsia="zh-CN"/>
                    </w:rPr>
                    <w:t>、总烃、颗粒物</w:t>
                  </w:r>
                </w:p>
              </w:tc>
              <w:tc>
                <w:tcPr>
                  <w:tcW w:w="681" w:type="pct"/>
                  <w:vMerge w:val="restart"/>
                  <w:tcBorders>
                    <w:tl2br w:val="nil"/>
                    <w:tr2bl w:val="nil"/>
                  </w:tcBorders>
                  <w:shd w:val="clear" w:color="auto" w:fill="auto"/>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大气环境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04"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719"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832"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1286" w:type="pct"/>
                  <w:tcBorders>
                    <w:tl2br w:val="nil"/>
                    <w:tr2bl w:val="nil"/>
                  </w:tcBorders>
                  <w:shd w:val="clear" w:color="auto" w:fill="auto"/>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柴油发电机</w:t>
                  </w:r>
                </w:p>
              </w:tc>
              <w:tc>
                <w:tcPr>
                  <w:tcW w:w="1076" w:type="pct"/>
                  <w:tcBorders>
                    <w:tl2br w:val="nil"/>
                    <w:tr2bl w:val="nil"/>
                  </w:tcBorders>
                  <w:shd w:val="clear" w:color="auto" w:fill="auto"/>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SO</w:t>
                  </w:r>
                  <w:r>
                    <w:rPr>
                      <w:rFonts w:hint="default" w:ascii="Times New Roman" w:hAnsi="Times New Roman" w:cs="Times New Roman"/>
                      <w:color w:val="auto"/>
                      <w:sz w:val="21"/>
                      <w:szCs w:val="21"/>
                      <w:vertAlign w:val="subscript"/>
                      <w:lang w:val="en-US" w:eastAsia="zh-CN"/>
                    </w:rPr>
                    <w:t>2</w:t>
                  </w:r>
                  <w:r>
                    <w:rPr>
                      <w:rFonts w:hint="default" w:ascii="Times New Roman" w:hAnsi="Times New Roman" w:cs="Times New Roman"/>
                      <w:color w:val="auto"/>
                      <w:sz w:val="21"/>
                      <w:szCs w:val="21"/>
                      <w:lang w:val="en-US" w:eastAsia="zh-CN"/>
                    </w:rPr>
                    <w:t>、NO</w:t>
                  </w:r>
                  <w:r>
                    <w:rPr>
                      <w:rFonts w:hint="default" w:ascii="Times New Roman" w:hAnsi="Times New Roman" w:cs="Times New Roman"/>
                      <w:color w:val="auto"/>
                      <w:sz w:val="21"/>
                      <w:szCs w:val="21"/>
                      <w:vertAlign w:val="subscript"/>
                      <w:lang w:val="en-US" w:eastAsia="zh-CN"/>
                    </w:rPr>
                    <w:t>X</w:t>
                  </w:r>
                  <w:r>
                    <w:rPr>
                      <w:rFonts w:hint="default" w:ascii="Times New Roman" w:hAnsi="Times New Roman" w:cs="Times New Roman"/>
                      <w:color w:val="auto"/>
                      <w:sz w:val="21"/>
                      <w:szCs w:val="21"/>
                      <w:lang w:val="en-US" w:eastAsia="zh-CN"/>
                    </w:rPr>
                    <w:t>、总烃、颗粒物</w:t>
                  </w:r>
                </w:p>
              </w:tc>
              <w:tc>
                <w:tcPr>
                  <w:tcW w:w="681" w:type="pct"/>
                  <w:vMerge w:val="continue"/>
                  <w:tcBorders>
                    <w:tl2br w:val="nil"/>
                    <w:tr2bl w:val="nil"/>
                  </w:tcBorders>
                  <w:shd w:val="clear" w:color="auto" w:fill="auto"/>
                  <w:vAlign w:val="center"/>
                </w:tcPr>
                <w:p>
                  <w:pPr>
                    <w:pStyle w:val="35"/>
                    <w:bidi w:val="0"/>
                    <w:spacing w:line="240" w:lineRule="auto"/>
                    <w:rPr>
                      <w:rFonts w:hint="default" w:ascii="Times New Roman" w:hAnsi="Times New Roman" w:cs="Times New Roman"/>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04"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719"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832"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1286" w:type="pct"/>
                  <w:tcBorders>
                    <w:tl2br w:val="nil"/>
                    <w:tr2bl w:val="nil"/>
                  </w:tcBorders>
                  <w:shd w:val="clear" w:color="auto" w:fill="auto"/>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施工机械及车辆尾气</w:t>
                  </w:r>
                </w:p>
              </w:tc>
              <w:tc>
                <w:tcPr>
                  <w:tcW w:w="1076" w:type="pct"/>
                  <w:tcBorders>
                    <w:tl2br w:val="nil"/>
                    <w:tr2bl w:val="nil"/>
                  </w:tcBorders>
                  <w:shd w:val="clear" w:color="auto" w:fill="auto"/>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SO</w:t>
                  </w:r>
                  <w:r>
                    <w:rPr>
                      <w:rFonts w:hint="default" w:ascii="Times New Roman" w:hAnsi="Times New Roman" w:cs="Times New Roman"/>
                      <w:color w:val="auto"/>
                      <w:sz w:val="21"/>
                      <w:szCs w:val="21"/>
                      <w:vertAlign w:val="subscript"/>
                      <w:lang w:val="en-US" w:eastAsia="zh-CN"/>
                    </w:rPr>
                    <w:t>2</w:t>
                  </w:r>
                  <w:r>
                    <w:rPr>
                      <w:rFonts w:hint="default" w:ascii="Times New Roman" w:hAnsi="Times New Roman" w:cs="Times New Roman"/>
                      <w:color w:val="auto"/>
                      <w:sz w:val="21"/>
                      <w:szCs w:val="21"/>
                      <w:lang w:val="en-US" w:eastAsia="zh-CN"/>
                    </w:rPr>
                    <w:t>、NO</w:t>
                  </w:r>
                  <w:r>
                    <w:rPr>
                      <w:rFonts w:hint="default" w:ascii="Times New Roman" w:hAnsi="Times New Roman" w:cs="Times New Roman"/>
                      <w:color w:val="auto"/>
                      <w:sz w:val="21"/>
                      <w:szCs w:val="21"/>
                      <w:vertAlign w:val="subscript"/>
                      <w:lang w:val="en-US" w:eastAsia="zh-CN"/>
                    </w:rPr>
                    <w:t>X</w:t>
                  </w:r>
                  <w:r>
                    <w:rPr>
                      <w:rFonts w:hint="default" w:ascii="Times New Roman" w:hAnsi="Times New Roman" w:cs="Times New Roman"/>
                      <w:color w:val="auto"/>
                      <w:sz w:val="21"/>
                      <w:szCs w:val="21"/>
                      <w:lang w:val="en-US" w:eastAsia="zh-CN"/>
                    </w:rPr>
                    <w:t>、总烃、颗粒物</w:t>
                  </w:r>
                </w:p>
              </w:tc>
              <w:tc>
                <w:tcPr>
                  <w:tcW w:w="681" w:type="pct"/>
                  <w:vMerge w:val="continue"/>
                  <w:tcBorders>
                    <w:tl2br w:val="nil"/>
                    <w:tr2bl w:val="nil"/>
                  </w:tcBorders>
                  <w:shd w:val="clear" w:color="auto" w:fill="auto"/>
                  <w:vAlign w:val="center"/>
                </w:tcPr>
                <w:p>
                  <w:pPr>
                    <w:pStyle w:val="35"/>
                    <w:bidi w:val="0"/>
                    <w:spacing w:line="240" w:lineRule="auto"/>
                    <w:rPr>
                      <w:rFonts w:hint="default" w:ascii="Times New Roman" w:hAnsi="Times New Roman" w:cs="Times New Roman"/>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436" w:hRule="atLeast"/>
                <w:jc w:val="center"/>
              </w:trPr>
              <w:tc>
                <w:tcPr>
                  <w:tcW w:w="404"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719"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832"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1286"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采出液储存、装车过程</w:t>
                  </w:r>
                </w:p>
              </w:tc>
              <w:tc>
                <w:tcPr>
                  <w:tcW w:w="1076" w:type="pct"/>
                  <w:tcBorders>
                    <w:tl2br w:val="nil"/>
                    <w:tr2bl w:val="nil"/>
                  </w:tcBorders>
                  <w:shd w:val="clear" w:color="auto" w:fill="auto"/>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非甲烷总烃、</w:t>
                  </w:r>
                  <w:r>
                    <w:rPr>
                      <w:rFonts w:hint="default" w:ascii="Times New Roman" w:hAnsi="Times New Roman" w:cs="Times New Roman"/>
                      <w:color w:val="auto"/>
                      <w:sz w:val="21"/>
                      <w:szCs w:val="21"/>
                    </w:rPr>
                    <w:t>硫化氢</w:t>
                  </w:r>
                </w:p>
              </w:tc>
              <w:tc>
                <w:tcPr>
                  <w:tcW w:w="681" w:type="pct"/>
                  <w:vMerge w:val="continue"/>
                  <w:tcBorders>
                    <w:tl2br w:val="nil"/>
                    <w:tr2bl w:val="nil"/>
                  </w:tcBorders>
                  <w:shd w:val="clear" w:color="auto" w:fill="auto"/>
                  <w:vAlign w:val="center"/>
                </w:tcPr>
                <w:p>
                  <w:pPr>
                    <w:pStyle w:val="35"/>
                    <w:bidi w:val="0"/>
                    <w:spacing w:line="240" w:lineRule="auto"/>
                    <w:rPr>
                      <w:rFonts w:hint="default" w:ascii="Times New Roman" w:hAnsi="Times New Roman" w:cs="Times New Roman"/>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04"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719"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832"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试油废水</w:t>
                  </w:r>
                </w:p>
              </w:tc>
              <w:tc>
                <w:tcPr>
                  <w:tcW w:w="1286"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洗井、压裂</w:t>
                  </w:r>
                </w:p>
              </w:tc>
              <w:tc>
                <w:tcPr>
                  <w:tcW w:w="1076"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SS、石油类等</w:t>
                  </w:r>
                </w:p>
              </w:tc>
              <w:tc>
                <w:tcPr>
                  <w:tcW w:w="681" w:type="pct"/>
                  <w:tcBorders>
                    <w:tl2br w:val="nil"/>
                    <w:tr2bl w:val="nil"/>
                  </w:tcBorders>
                  <w:shd w:val="clear" w:color="auto" w:fill="auto"/>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地下水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04"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719"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井场、道路</w:t>
                  </w:r>
                </w:p>
              </w:tc>
              <w:tc>
                <w:tcPr>
                  <w:tcW w:w="832"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噪声</w:t>
                  </w:r>
                </w:p>
              </w:tc>
              <w:tc>
                <w:tcPr>
                  <w:tcW w:w="1286" w:type="pct"/>
                  <w:tcBorders>
                    <w:tl2br w:val="nil"/>
                    <w:tr2bl w:val="nil"/>
                  </w:tcBorders>
                  <w:shd w:val="clear" w:color="auto" w:fill="auto"/>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施工机械、车辆行驶</w:t>
                  </w:r>
                </w:p>
              </w:tc>
              <w:tc>
                <w:tcPr>
                  <w:tcW w:w="1076" w:type="pct"/>
                  <w:tcBorders>
                    <w:tl2br w:val="nil"/>
                    <w:tr2bl w:val="nil"/>
                  </w:tcBorders>
                  <w:shd w:val="clear" w:color="auto" w:fill="auto"/>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等效连续A声级</w:t>
                  </w:r>
                </w:p>
              </w:tc>
              <w:tc>
                <w:tcPr>
                  <w:tcW w:w="681" w:type="pct"/>
                  <w:tcBorders>
                    <w:tl2br w:val="nil"/>
                    <w:tr2bl w:val="nil"/>
                  </w:tcBorders>
                  <w:shd w:val="clear" w:color="auto" w:fill="auto"/>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声环境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04"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719" w:type="pct"/>
                  <w:vMerge w:val="restar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井场</w:t>
                  </w:r>
                </w:p>
              </w:tc>
              <w:tc>
                <w:tcPr>
                  <w:tcW w:w="832" w:type="pct"/>
                  <w:vMerge w:val="restar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固废</w:t>
                  </w:r>
                </w:p>
              </w:tc>
              <w:tc>
                <w:tcPr>
                  <w:tcW w:w="1286" w:type="pct"/>
                  <w:tcBorders>
                    <w:tl2br w:val="nil"/>
                    <w:tr2bl w:val="nil"/>
                  </w:tcBorders>
                  <w:shd w:val="clear" w:color="auto" w:fill="auto"/>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含油物质泄漏</w:t>
                  </w:r>
                </w:p>
              </w:tc>
              <w:tc>
                <w:tcPr>
                  <w:tcW w:w="1076" w:type="pct"/>
                  <w:tcBorders>
                    <w:tl2br w:val="nil"/>
                    <w:tr2bl w:val="nil"/>
                  </w:tcBorders>
                  <w:shd w:val="clear" w:color="auto" w:fill="auto"/>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沾油废防渗材料</w:t>
                  </w:r>
                </w:p>
              </w:tc>
              <w:tc>
                <w:tcPr>
                  <w:tcW w:w="681" w:type="pct"/>
                  <w:vMerge w:val="restart"/>
                  <w:tcBorders>
                    <w:tl2br w:val="nil"/>
                    <w:tr2bl w:val="nil"/>
                  </w:tcBorders>
                  <w:shd w:val="clear" w:color="auto" w:fill="auto"/>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土壤环境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04"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719"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832"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1286"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设备保养、维护</w:t>
                  </w:r>
                </w:p>
              </w:tc>
              <w:tc>
                <w:tcPr>
                  <w:tcW w:w="1076" w:type="pct"/>
                  <w:tcBorders>
                    <w:tl2br w:val="nil"/>
                    <w:tr2bl w:val="nil"/>
                  </w:tcBorders>
                  <w:shd w:val="clear" w:color="auto" w:fill="auto"/>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废润滑油及桶</w:t>
                  </w:r>
                </w:p>
              </w:tc>
              <w:tc>
                <w:tcPr>
                  <w:tcW w:w="681" w:type="pct"/>
                  <w:vMerge w:val="continue"/>
                  <w:tcBorders>
                    <w:tl2br w:val="nil"/>
                    <w:tr2bl w:val="nil"/>
                  </w:tcBorders>
                  <w:shd w:val="clear" w:color="auto" w:fill="auto"/>
                  <w:vAlign w:val="center"/>
                </w:tcPr>
                <w:p>
                  <w:pPr>
                    <w:pStyle w:val="35"/>
                    <w:bidi w:val="0"/>
                    <w:spacing w:line="240" w:lineRule="auto"/>
                    <w:rPr>
                      <w:rFonts w:hint="default" w:ascii="Times New Roman" w:hAnsi="Times New Roman" w:cs="Times New Roman"/>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04" w:type="pct"/>
                  <w:vMerge w:val="restar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完井</w:t>
                  </w:r>
                </w:p>
              </w:tc>
              <w:tc>
                <w:tcPr>
                  <w:tcW w:w="719" w:type="pct"/>
                  <w:vMerge w:val="restar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井场、道路</w:t>
                  </w:r>
                </w:p>
              </w:tc>
              <w:tc>
                <w:tcPr>
                  <w:tcW w:w="832"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废气</w:t>
                  </w:r>
                </w:p>
              </w:tc>
              <w:tc>
                <w:tcPr>
                  <w:tcW w:w="1286" w:type="pct"/>
                  <w:tcBorders>
                    <w:tl2br w:val="nil"/>
                    <w:tr2bl w:val="nil"/>
                  </w:tcBorders>
                  <w:shd w:val="clear" w:color="auto" w:fill="auto"/>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拆除设备、构筑物；场地清理、平整</w:t>
                  </w:r>
                </w:p>
              </w:tc>
              <w:tc>
                <w:tcPr>
                  <w:tcW w:w="1076" w:type="pct"/>
                  <w:tcBorders>
                    <w:tl2br w:val="nil"/>
                    <w:tr2bl w:val="nil"/>
                  </w:tcBorders>
                  <w:shd w:val="clear" w:color="auto" w:fill="auto"/>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TSP</w:t>
                  </w:r>
                </w:p>
              </w:tc>
              <w:tc>
                <w:tcPr>
                  <w:tcW w:w="681" w:type="pct"/>
                  <w:tcBorders>
                    <w:tl2br w:val="nil"/>
                    <w:tr2bl w:val="nil"/>
                  </w:tcBorders>
                  <w:shd w:val="clear" w:color="auto" w:fill="auto"/>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大气环境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04"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719"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832"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噪声</w:t>
                  </w:r>
                </w:p>
              </w:tc>
              <w:tc>
                <w:tcPr>
                  <w:tcW w:w="1286" w:type="pct"/>
                  <w:tcBorders>
                    <w:tl2br w:val="nil"/>
                    <w:tr2bl w:val="nil"/>
                  </w:tcBorders>
                  <w:shd w:val="clear" w:color="auto" w:fill="auto"/>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施工机械、车辆运行</w:t>
                  </w:r>
                </w:p>
              </w:tc>
              <w:tc>
                <w:tcPr>
                  <w:tcW w:w="1076" w:type="pct"/>
                  <w:tcBorders>
                    <w:tl2br w:val="nil"/>
                    <w:tr2bl w:val="nil"/>
                  </w:tcBorders>
                  <w:shd w:val="clear" w:color="auto" w:fill="auto"/>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等效连续A声级</w:t>
                  </w:r>
                </w:p>
              </w:tc>
              <w:tc>
                <w:tcPr>
                  <w:tcW w:w="681" w:type="pct"/>
                  <w:tcBorders>
                    <w:tl2br w:val="nil"/>
                    <w:tr2bl w:val="nil"/>
                  </w:tcBorders>
                  <w:shd w:val="clear" w:color="auto" w:fill="auto"/>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声环境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04"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719" w:type="pct"/>
                  <w:vMerge w:val="continue"/>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p>
              </w:tc>
              <w:tc>
                <w:tcPr>
                  <w:tcW w:w="832"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建筑垃圾</w:t>
                  </w:r>
                </w:p>
              </w:tc>
              <w:tc>
                <w:tcPr>
                  <w:tcW w:w="1286"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拆除设备、构筑物、场地清理</w:t>
                  </w:r>
                </w:p>
              </w:tc>
              <w:tc>
                <w:tcPr>
                  <w:tcW w:w="1076"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混凝土废渣、废包装物等</w:t>
                  </w:r>
                </w:p>
              </w:tc>
              <w:tc>
                <w:tcPr>
                  <w:tcW w:w="681" w:type="pct"/>
                  <w:tcBorders>
                    <w:tl2br w:val="nil"/>
                    <w:tr2bl w:val="nil"/>
                  </w:tcBorders>
                  <w:vAlign w:val="center"/>
                </w:tcPr>
                <w:p>
                  <w:pPr>
                    <w:pStyle w:val="35"/>
                    <w:bidi w:val="0"/>
                    <w:spacing w:line="240" w:lineRule="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土壤环境</w:t>
                  </w:r>
                </w:p>
              </w:tc>
            </w:tr>
          </w:tbl>
          <w:p>
            <w:pPr>
              <w:pStyle w:val="54"/>
              <w:numPr>
                <w:ilvl w:val="0"/>
                <w:numId w:val="9"/>
              </w:numPr>
              <w:bidi w:val="0"/>
              <w:ind w:left="9" w:leftChars="0" w:firstLineChars="0"/>
              <w:rPr>
                <w:rFonts w:hint="default"/>
                <w:color w:val="auto"/>
              </w:rPr>
            </w:pPr>
            <w:r>
              <w:rPr>
                <w:rFonts w:hint="default"/>
                <w:color w:val="auto"/>
              </w:rPr>
              <w:t>环境风险影响分析</w:t>
            </w:r>
          </w:p>
          <w:p>
            <w:pPr>
              <w:pStyle w:val="10"/>
              <w:ind w:firstLine="480"/>
              <w:rPr>
                <w:rFonts w:hint="default" w:ascii="Times New Roman" w:hAnsi="Times New Roman" w:cs="Times New Roman"/>
                <w:b w:val="0"/>
                <w:bCs w:val="0"/>
                <w:color w:val="auto"/>
              </w:rPr>
            </w:pPr>
            <w:r>
              <w:rPr>
                <w:rFonts w:hint="default" w:ascii="Times New Roman" w:hAnsi="Times New Roman" w:cs="Times New Roman"/>
                <w:b w:val="0"/>
                <w:bCs w:val="0"/>
                <w:color w:val="auto"/>
              </w:rPr>
              <w:t>（1）评价依据</w:t>
            </w:r>
          </w:p>
          <w:p>
            <w:pPr>
              <w:pStyle w:val="10"/>
              <w:bidi w:val="0"/>
              <w:rPr>
                <w:rFonts w:hint="default"/>
                <w:color w:val="auto"/>
                <w:lang w:val="en-US" w:eastAsia="zh-CN"/>
              </w:rPr>
            </w:pPr>
            <w:r>
              <w:rPr>
                <w:rFonts w:hint="default"/>
                <w:color w:val="auto"/>
                <w:lang w:val="en-US" w:eastAsia="zh-CN"/>
              </w:rPr>
              <w:t>施工期涉及的危险物质主要为柴油、</w:t>
            </w:r>
            <w:r>
              <w:rPr>
                <w:rFonts w:hint="eastAsia"/>
                <w:color w:val="auto"/>
                <w:lang w:val="en-US" w:eastAsia="zh-CN"/>
              </w:rPr>
              <w:t>油基钻井液中白油、</w:t>
            </w:r>
            <w:r>
              <w:rPr>
                <w:rFonts w:hint="default"/>
                <w:color w:val="auto"/>
                <w:lang w:val="en-US" w:eastAsia="zh-CN"/>
              </w:rPr>
              <w:t>原油</w:t>
            </w:r>
            <w:r>
              <w:rPr>
                <w:rFonts w:hint="eastAsia"/>
                <w:color w:val="auto"/>
                <w:lang w:val="en-US" w:eastAsia="zh-CN"/>
              </w:rPr>
              <w:t>、</w:t>
            </w:r>
            <w:r>
              <w:rPr>
                <w:rFonts w:hint="default"/>
                <w:color w:val="auto"/>
                <w:lang w:val="en-US" w:eastAsia="zh-CN"/>
              </w:rPr>
              <w:t>伴生气（</w:t>
            </w:r>
            <w:r>
              <w:rPr>
                <w:rFonts w:hint="eastAsia"/>
                <w:color w:val="auto"/>
                <w:lang w:val="en-US" w:eastAsia="zh-CN"/>
              </w:rPr>
              <w:t>石油气</w:t>
            </w:r>
            <w:r>
              <w:rPr>
                <w:rFonts w:hint="default"/>
                <w:color w:val="auto"/>
                <w:lang w:val="en-US" w:eastAsia="zh-CN"/>
              </w:rPr>
              <w:t>）和伴生气中的少量硫化氢。</w:t>
            </w:r>
          </w:p>
          <w:p>
            <w:pPr>
              <w:pStyle w:val="10"/>
              <w:bidi w:val="0"/>
              <w:rPr>
                <w:rFonts w:hint="default"/>
                <w:color w:val="auto"/>
              </w:rPr>
            </w:pPr>
            <w:r>
              <w:rPr>
                <w:rFonts w:hint="default"/>
                <w:color w:val="auto"/>
              </w:rPr>
              <w:t>根据《建设项目环境风险评价技术导则》（HJ 169-2018）附录B可知，柴油、白油、废润滑油属于“油类物质”，废润滑油桶、沾油废防渗材料及油基钻井岩屑为含油废物（各危险物质在线量分别以钻井岩屑、沾油废防渗材料和废润滑油桶中石油类含量计），临界量均为2500t。</w:t>
            </w:r>
          </w:p>
          <w:p>
            <w:pPr>
              <w:pStyle w:val="10"/>
              <w:bidi w:val="0"/>
              <w:rPr>
                <w:rFonts w:hint="eastAsia" w:ascii="Times New Roman" w:hAnsi="Times New Roman" w:eastAsia="宋体" w:cs="Times New Roman"/>
                <w:b w:val="0"/>
                <w:bCs w:val="0"/>
                <w:color w:val="auto"/>
                <w:lang w:eastAsia="zh-CN"/>
              </w:rPr>
            </w:pPr>
            <w:r>
              <w:rPr>
                <w:rFonts w:hint="default" w:ascii="Times New Roman" w:hAnsi="Times New Roman" w:cs="Times New Roman"/>
                <w:b w:val="0"/>
                <w:bCs w:val="0"/>
                <w:color w:val="auto"/>
              </w:rPr>
              <w:t>钻井井场柴油储存量约2</w:t>
            </w:r>
            <w:r>
              <w:rPr>
                <w:rFonts w:hint="default" w:ascii="Times New Roman" w:hAnsi="Times New Roman" w:cs="Times New Roman"/>
                <w:b w:val="0"/>
                <w:bCs w:val="0"/>
                <w:color w:val="auto"/>
                <w:lang w:val="en-US" w:eastAsia="zh-CN"/>
              </w:rPr>
              <w:t>0</w:t>
            </w:r>
            <w:r>
              <w:rPr>
                <w:rFonts w:hint="default" w:ascii="Times New Roman" w:hAnsi="Times New Roman" w:cs="Times New Roman"/>
                <w:b w:val="0"/>
                <w:bCs w:val="0"/>
                <w:color w:val="auto"/>
              </w:rPr>
              <w:t>t；危险废物贮存点废润滑油、废润滑油桶及沾油废防渗材料中石油类最大暂存量约为1</w:t>
            </w:r>
            <w:r>
              <w:rPr>
                <w:rFonts w:hint="eastAsia" w:cs="Times New Roman"/>
                <w:b w:val="0"/>
                <w:bCs w:val="0"/>
                <w:color w:val="auto"/>
                <w:lang w:val="en-US" w:eastAsia="zh-CN"/>
              </w:rPr>
              <w:t>.5</w:t>
            </w:r>
            <w:r>
              <w:rPr>
                <w:rFonts w:hint="default" w:ascii="Times New Roman" w:hAnsi="Times New Roman" w:cs="Times New Roman"/>
                <w:b w:val="0"/>
                <w:bCs w:val="0"/>
                <w:color w:val="auto"/>
              </w:rPr>
              <w:t>t</w:t>
            </w:r>
            <w:r>
              <w:rPr>
                <w:rFonts w:hint="eastAsia" w:cs="Times New Roman"/>
                <w:b w:val="0"/>
                <w:bCs w:val="0"/>
                <w:color w:val="auto"/>
                <w:lang w:eastAsia="zh-CN"/>
              </w:rPr>
              <w:t>；</w:t>
            </w:r>
            <w:r>
              <w:rPr>
                <w:rFonts w:hint="default" w:ascii="Times New Roman" w:hAnsi="Times New Roman" w:cs="Times New Roman"/>
                <w:b w:val="0"/>
                <w:bCs w:val="0"/>
                <w:color w:val="auto"/>
              </w:rPr>
              <w:t>典型油基钻井液中白油的含量为</w:t>
            </w:r>
            <w:r>
              <w:rPr>
                <w:rFonts w:hint="eastAsia" w:cs="Times New Roman"/>
                <w:b w:val="0"/>
                <w:bCs w:val="0"/>
                <w:color w:val="auto"/>
                <w:lang w:val="en-US" w:eastAsia="zh-CN"/>
              </w:rPr>
              <w:t>50</w:t>
            </w:r>
            <w:r>
              <w:rPr>
                <w:rFonts w:hint="default" w:ascii="Times New Roman" w:hAnsi="Times New Roman" w:cs="Times New Roman"/>
                <w:b w:val="0"/>
                <w:bCs w:val="0"/>
                <w:color w:val="auto"/>
              </w:rPr>
              <w:t>%，井场</w:t>
            </w:r>
            <w:r>
              <w:rPr>
                <w:rFonts w:hint="eastAsia" w:ascii="Times New Roman" w:hAnsi="Times New Roman" w:cs="Times New Roman"/>
                <w:b w:val="0"/>
                <w:bCs w:val="0"/>
                <w:color w:val="auto"/>
                <w:lang w:val="en-US" w:eastAsia="zh-CN"/>
              </w:rPr>
              <w:t>钻井液储罐中</w:t>
            </w:r>
            <w:r>
              <w:rPr>
                <w:rFonts w:hint="default" w:ascii="Times New Roman" w:hAnsi="Times New Roman" w:cs="Times New Roman"/>
                <w:b w:val="0"/>
                <w:bCs w:val="0"/>
                <w:color w:val="auto"/>
              </w:rPr>
              <w:t>油基钻井液最大</w:t>
            </w:r>
            <w:r>
              <w:rPr>
                <w:rFonts w:hint="eastAsia" w:ascii="Times New Roman" w:hAnsi="Times New Roman" w:cs="Times New Roman"/>
                <w:b w:val="0"/>
                <w:bCs w:val="0"/>
                <w:color w:val="auto"/>
                <w:lang w:val="en-US" w:eastAsia="zh-CN"/>
              </w:rPr>
              <w:t>存在</w:t>
            </w:r>
            <w:r>
              <w:rPr>
                <w:rFonts w:hint="default" w:ascii="Times New Roman" w:hAnsi="Times New Roman" w:cs="Times New Roman"/>
                <w:b w:val="0"/>
                <w:bCs w:val="0"/>
                <w:color w:val="auto"/>
              </w:rPr>
              <w:t>量</w:t>
            </w:r>
            <w:r>
              <w:rPr>
                <w:rFonts w:hint="eastAsia" w:cs="Times New Roman"/>
                <w:b w:val="0"/>
                <w:bCs w:val="0"/>
                <w:color w:val="auto"/>
                <w:lang w:val="en-US" w:eastAsia="zh-CN"/>
              </w:rPr>
              <w:t>6</w:t>
            </w:r>
            <w:r>
              <w:rPr>
                <w:rFonts w:hint="eastAsia" w:ascii="Times New Roman" w:hAnsi="Times New Roman" w:cs="Times New Roman"/>
                <w:b w:val="0"/>
                <w:bCs w:val="0"/>
                <w:color w:val="auto"/>
                <w:lang w:val="en-US" w:eastAsia="zh-CN"/>
              </w:rPr>
              <w:t>00</w:t>
            </w:r>
            <w:r>
              <w:rPr>
                <w:rFonts w:hint="default" w:ascii="Times New Roman" w:hAnsi="Times New Roman" w:cs="Times New Roman"/>
                <w:b w:val="0"/>
                <w:bCs w:val="0"/>
                <w:color w:val="auto"/>
              </w:rPr>
              <w:t>m</w:t>
            </w:r>
            <w:r>
              <w:rPr>
                <w:rFonts w:hint="default" w:ascii="Times New Roman" w:hAnsi="Times New Roman" w:cs="Times New Roman"/>
                <w:b w:val="0"/>
                <w:bCs w:val="0"/>
                <w:color w:val="auto"/>
                <w:vertAlign w:val="superscript"/>
              </w:rPr>
              <w:t>3</w:t>
            </w:r>
            <w:r>
              <w:rPr>
                <w:rFonts w:hint="default" w:ascii="Times New Roman" w:hAnsi="Times New Roman" w:cs="Times New Roman"/>
                <w:b w:val="0"/>
                <w:bCs w:val="0"/>
                <w:color w:val="auto"/>
              </w:rPr>
              <w:t>，白油密度取0.84g/cm</w:t>
            </w:r>
            <w:r>
              <w:rPr>
                <w:rFonts w:hint="default" w:ascii="Times New Roman" w:hAnsi="Times New Roman" w:cs="Times New Roman"/>
                <w:b w:val="0"/>
                <w:bCs w:val="0"/>
                <w:color w:val="auto"/>
                <w:vertAlign w:val="superscript"/>
              </w:rPr>
              <w:t>3</w:t>
            </w:r>
            <w:r>
              <w:rPr>
                <w:rFonts w:hint="default" w:ascii="Times New Roman" w:hAnsi="Times New Roman" w:cs="Times New Roman"/>
                <w:b w:val="0"/>
                <w:bCs w:val="0"/>
                <w:color w:val="auto"/>
              </w:rPr>
              <w:t>，</w:t>
            </w:r>
            <w:r>
              <w:rPr>
                <w:rFonts w:hint="eastAsia" w:cs="Times New Roman"/>
                <w:b w:val="0"/>
                <w:bCs w:val="0"/>
                <w:color w:val="auto"/>
                <w:lang w:val="en-US" w:eastAsia="zh-CN"/>
              </w:rPr>
              <w:t>则</w:t>
            </w:r>
            <w:r>
              <w:rPr>
                <w:rFonts w:hint="default" w:ascii="Times New Roman" w:hAnsi="Times New Roman" w:cs="Times New Roman"/>
                <w:b w:val="0"/>
                <w:bCs w:val="0"/>
                <w:color w:val="auto"/>
              </w:rPr>
              <w:t>井场油基钻井液中白油的最大</w:t>
            </w:r>
            <w:r>
              <w:rPr>
                <w:rFonts w:hint="eastAsia" w:cs="Times New Roman"/>
                <w:b w:val="0"/>
                <w:bCs w:val="0"/>
                <w:color w:val="auto"/>
                <w:lang w:val="en-US" w:eastAsia="zh-CN"/>
              </w:rPr>
              <w:t>存在</w:t>
            </w:r>
            <w:r>
              <w:rPr>
                <w:rFonts w:hint="default" w:ascii="Times New Roman" w:hAnsi="Times New Roman" w:cs="Times New Roman"/>
                <w:b w:val="0"/>
                <w:bCs w:val="0"/>
                <w:color w:val="auto"/>
              </w:rPr>
              <w:t>量为</w:t>
            </w:r>
            <w:r>
              <w:rPr>
                <w:rFonts w:hint="eastAsia" w:cs="Times New Roman"/>
                <w:b w:val="0"/>
                <w:bCs w:val="0"/>
                <w:color w:val="auto"/>
                <w:lang w:val="en-US" w:eastAsia="zh-CN"/>
              </w:rPr>
              <w:t>252</w:t>
            </w:r>
            <w:r>
              <w:rPr>
                <w:rFonts w:hint="default" w:ascii="Times New Roman" w:hAnsi="Times New Roman" w:cs="Times New Roman"/>
                <w:b w:val="0"/>
                <w:bCs w:val="0"/>
                <w:color w:val="auto"/>
              </w:rPr>
              <w:t>t；钻井井场油基钻井岩屑最大暂存量为100m</w:t>
            </w:r>
            <w:r>
              <w:rPr>
                <w:rFonts w:hint="default" w:ascii="Times New Roman" w:hAnsi="Times New Roman" w:cs="Times New Roman"/>
                <w:b w:val="0"/>
                <w:bCs w:val="0"/>
                <w:color w:val="auto"/>
                <w:vertAlign w:val="superscript"/>
              </w:rPr>
              <w:t>3</w:t>
            </w:r>
            <w:r>
              <w:rPr>
                <w:rFonts w:hint="default" w:ascii="Times New Roman" w:hAnsi="Times New Roman" w:cs="Times New Roman"/>
                <w:b w:val="0"/>
                <w:bCs w:val="0"/>
                <w:color w:val="auto"/>
              </w:rPr>
              <w:t>，岩屑中的</w:t>
            </w:r>
            <w:r>
              <w:rPr>
                <w:rFonts w:hint="eastAsia" w:cs="Times New Roman"/>
                <w:b w:val="0"/>
                <w:bCs w:val="0"/>
                <w:color w:val="auto"/>
                <w:lang w:val="en-US" w:eastAsia="zh-CN"/>
              </w:rPr>
              <w:t>矿物油</w:t>
            </w:r>
            <w:r>
              <w:rPr>
                <w:rFonts w:hint="default" w:ascii="Times New Roman" w:hAnsi="Times New Roman" w:cs="Times New Roman"/>
                <w:b w:val="0"/>
                <w:bCs w:val="0"/>
                <w:color w:val="auto"/>
              </w:rPr>
              <w:t>含量为</w:t>
            </w:r>
            <w:r>
              <w:rPr>
                <w:rFonts w:hint="eastAsia" w:cs="Times New Roman"/>
                <w:b w:val="0"/>
                <w:bCs w:val="0"/>
                <w:color w:val="auto"/>
                <w:lang w:val="en-US" w:eastAsia="zh-CN"/>
              </w:rPr>
              <w:t>25.2</w:t>
            </w:r>
            <w:r>
              <w:rPr>
                <w:rFonts w:hint="default" w:ascii="Times New Roman" w:hAnsi="Times New Roman" w:cs="Times New Roman"/>
                <w:b w:val="0"/>
                <w:bCs w:val="0"/>
                <w:color w:val="auto"/>
              </w:rPr>
              <w:t>t。</w:t>
            </w:r>
          </w:p>
          <w:p>
            <w:pPr>
              <w:pStyle w:val="10"/>
              <w:bidi w:val="0"/>
              <w:rPr>
                <w:rFonts w:hint="default" w:ascii="Times New Roman" w:hAnsi="Times New Roman" w:eastAsia="宋体" w:cs="Times New Roman"/>
                <w:b w:val="0"/>
                <w:bCs w:val="0"/>
                <w:color w:val="auto"/>
                <w:kern w:val="0"/>
                <w:sz w:val="24"/>
                <w:szCs w:val="24"/>
                <w:lang w:val="en-US" w:eastAsia="zh-CN" w:bidi="ar-SA"/>
              </w:rPr>
            </w:pPr>
            <w:r>
              <w:rPr>
                <w:rFonts w:hint="default" w:ascii="Times New Roman" w:hAnsi="Times New Roman" w:eastAsia="宋体" w:cs="Times New Roman"/>
                <w:b w:val="0"/>
                <w:bCs w:val="0"/>
                <w:color w:val="auto"/>
                <w:kern w:val="0"/>
                <w:sz w:val="24"/>
                <w:szCs w:val="24"/>
                <w:lang w:val="en-US" w:eastAsia="zh-CN" w:bidi="ar-SA"/>
              </w:rPr>
              <w:t>试油期产生的伴生气气量不稳定，伴生气和伴生气中的硫化氢最大存在总量远低于其临界量（伴生气临界量10t，硫化氢临界量2.5t）；试油期柴油在井场的日常储量为20t；试油期井场设置方罐4个，每个方罐容积为20m</w:t>
            </w:r>
            <w:r>
              <w:rPr>
                <w:rFonts w:hint="default" w:ascii="Times New Roman" w:hAnsi="Times New Roman" w:eastAsia="宋体" w:cs="Times New Roman"/>
                <w:b w:val="0"/>
                <w:bCs w:val="0"/>
                <w:color w:val="auto"/>
                <w:kern w:val="0"/>
                <w:sz w:val="24"/>
                <w:szCs w:val="24"/>
                <w:vertAlign w:val="superscript"/>
                <w:lang w:val="en-US" w:eastAsia="zh-CN" w:bidi="ar-SA"/>
              </w:rPr>
              <w:t>3</w:t>
            </w:r>
            <w:r>
              <w:rPr>
                <w:rFonts w:hint="default" w:ascii="Times New Roman" w:hAnsi="Times New Roman" w:eastAsia="宋体" w:cs="Times New Roman"/>
                <w:b w:val="0"/>
                <w:bCs w:val="0"/>
                <w:color w:val="auto"/>
                <w:kern w:val="0"/>
                <w:sz w:val="24"/>
                <w:szCs w:val="24"/>
                <w:lang w:val="en-US" w:eastAsia="zh-CN" w:bidi="ar-SA"/>
              </w:rPr>
              <w:t>，原油平均密度为0.87g/cm</w:t>
            </w:r>
            <w:r>
              <w:rPr>
                <w:rFonts w:hint="default" w:ascii="Times New Roman" w:hAnsi="Times New Roman" w:eastAsia="宋体" w:cs="Times New Roman"/>
                <w:b w:val="0"/>
                <w:bCs w:val="0"/>
                <w:color w:val="auto"/>
                <w:kern w:val="0"/>
                <w:sz w:val="24"/>
                <w:szCs w:val="24"/>
                <w:vertAlign w:val="superscript"/>
                <w:lang w:val="en-US" w:eastAsia="zh-CN" w:bidi="ar-SA"/>
              </w:rPr>
              <w:t>3</w:t>
            </w:r>
            <w:r>
              <w:rPr>
                <w:rFonts w:hint="default" w:ascii="Times New Roman" w:hAnsi="Times New Roman" w:eastAsia="宋体" w:cs="Times New Roman"/>
                <w:b w:val="0"/>
                <w:bCs w:val="0"/>
                <w:color w:val="auto"/>
                <w:kern w:val="0"/>
                <w:sz w:val="24"/>
                <w:szCs w:val="24"/>
                <w:lang w:val="en-US" w:eastAsia="zh-CN" w:bidi="ar-SA"/>
              </w:rPr>
              <w:t>，则采出液中原油最大储存量约69.6t。</w:t>
            </w:r>
          </w:p>
          <w:p>
            <w:pPr>
              <w:widowControl w:val="0"/>
              <w:spacing w:line="500" w:lineRule="exact"/>
              <w:ind w:firstLine="480" w:firstLineChars="200"/>
              <w:jc w:val="both"/>
              <w:rPr>
                <w:rFonts w:hint="default" w:ascii="Times New Roman" w:hAnsi="Times New Roman" w:eastAsia="宋体" w:cs="Times New Roman"/>
                <w:b w:val="0"/>
                <w:bCs w:val="0"/>
                <w:color w:val="auto"/>
                <w:kern w:val="0"/>
                <w:sz w:val="24"/>
                <w:szCs w:val="24"/>
                <w:lang w:val="en-US" w:eastAsia="zh-CN" w:bidi="ar-SA"/>
              </w:rPr>
            </w:pPr>
            <w:r>
              <w:rPr>
                <w:rFonts w:hint="default" w:ascii="Times New Roman" w:hAnsi="Times New Roman" w:eastAsia="宋体" w:cs="Times New Roman"/>
                <w:b w:val="0"/>
                <w:bCs w:val="0"/>
                <w:color w:val="auto"/>
                <w:kern w:val="0"/>
                <w:sz w:val="24"/>
                <w:szCs w:val="24"/>
                <w:lang w:val="en-US" w:eastAsia="zh-CN" w:bidi="ar-SA"/>
              </w:rPr>
              <w:t>钻井井场和试油井场各危险物质与临界量的比值计算情况如下：</w:t>
            </w:r>
          </w:p>
          <w:p>
            <w:pPr>
              <w:pStyle w:val="56"/>
              <w:bidi w:val="0"/>
              <w:rPr>
                <w:rFonts w:hint="eastAsia"/>
                <w:color w:val="auto"/>
                <w:lang w:val="en-US" w:eastAsia="zh-CN"/>
              </w:rPr>
            </w:pPr>
            <w:r>
              <w:rPr>
                <w:rFonts w:hint="eastAsia"/>
                <w:color w:val="auto"/>
                <w:lang w:val="en-US" w:eastAsia="zh-CN"/>
              </w:rPr>
              <w:t>表4-6  本项目井场各风险单元Q值一览表</w:t>
            </w:r>
          </w:p>
          <w:tbl>
            <w:tblPr>
              <w:tblStyle w:val="5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662"/>
              <w:gridCol w:w="2344"/>
              <w:gridCol w:w="1512"/>
              <w:gridCol w:w="1233"/>
              <w:gridCol w:w="924"/>
              <w:gridCol w:w="103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29" w:type="pct"/>
                  <w:vAlign w:val="center"/>
                </w:tcPr>
                <w:p>
                  <w:pPr>
                    <w:pStyle w:val="35"/>
                    <w:bidi w:val="0"/>
                    <w:contextualSpacing/>
                    <w:rPr>
                      <w:rFonts w:hint="default"/>
                      <w:color w:val="auto"/>
                    </w:rPr>
                  </w:pPr>
                  <w:r>
                    <w:rPr>
                      <w:rFonts w:hint="default"/>
                      <w:color w:val="auto"/>
                    </w:rPr>
                    <w:t>风险单位</w:t>
                  </w:r>
                </w:p>
              </w:tc>
              <w:tc>
                <w:tcPr>
                  <w:tcW w:w="1519" w:type="pct"/>
                  <w:vAlign w:val="center"/>
                </w:tcPr>
                <w:p>
                  <w:pPr>
                    <w:pStyle w:val="35"/>
                    <w:bidi w:val="0"/>
                    <w:contextualSpacing/>
                    <w:rPr>
                      <w:rFonts w:hint="default"/>
                      <w:color w:val="auto"/>
                    </w:rPr>
                  </w:pPr>
                  <w:r>
                    <w:rPr>
                      <w:rFonts w:hint="default"/>
                      <w:color w:val="auto"/>
                    </w:rPr>
                    <w:t>危险物质名称</w:t>
                  </w:r>
                </w:p>
              </w:tc>
              <w:tc>
                <w:tcPr>
                  <w:tcW w:w="980" w:type="pct"/>
                  <w:vAlign w:val="center"/>
                </w:tcPr>
                <w:p>
                  <w:pPr>
                    <w:pStyle w:val="35"/>
                    <w:bidi w:val="0"/>
                    <w:contextualSpacing/>
                    <w:rPr>
                      <w:rFonts w:hint="default"/>
                      <w:color w:val="auto"/>
                    </w:rPr>
                  </w:pPr>
                  <w:r>
                    <w:rPr>
                      <w:rFonts w:hint="default"/>
                      <w:color w:val="auto"/>
                    </w:rPr>
                    <w:t>危险物质最大在线量（t）</w:t>
                  </w:r>
                </w:p>
              </w:tc>
              <w:tc>
                <w:tcPr>
                  <w:tcW w:w="799" w:type="pct"/>
                  <w:vAlign w:val="center"/>
                </w:tcPr>
                <w:p>
                  <w:pPr>
                    <w:pStyle w:val="35"/>
                    <w:bidi w:val="0"/>
                    <w:contextualSpacing/>
                    <w:rPr>
                      <w:rFonts w:hint="default"/>
                      <w:color w:val="auto"/>
                    </w:rPr>
                  </w:pPr>
                  <w:r>
                    <w:rPr>
                      <w:rFonts w:hint="default"/>
                      <w:color w:val="auto"/>
                    </w:rPr>
                    <w:t>危险物质临界量（t）</w:t>
                  </w:r>
                </w:p>
              </w:tc>
              <w:tc>
                <w:tcPr>
                  <w:tcW w:w="599" w:type="pct"/>
                  <w:vAlign w:val="center"/>
                </w:tcPr>
                <w:p>
                  <w:pPr>
                    <w:pStyle w:val="35"/>
                    <w:bidi w:val="0"/>
                    <w:contextualSpacing/>
                    <w:rPr>
                      <w:rFonts w:hint="default"/>
                      <w:color w:val="auto"/>
                    </w:rPr>
                  </w:pPr>
                  <w:r>
                    <w:rPr>
                      <w:rFonts w:hint="default"/>
                      <w:color w:val="auto"/>
                    </w:rPr>
                    <w:t>Q值</w:t>
                  </w:r>
                </w:p>
              </w:tc>
              <w:tc>
                <w:tcPr>
                  <w:tcW w:w="672" w:type="pct"/>
                  <w:vAlign w:val="center"/>
                </w:tcPr>
                <w:p>
                  <w:pPr>
                    <w:pStyle w:val="35"/>
                    <w:bidi w:val="0"/>
                    <w:contextualSpacing/>
                    <w:rPr>
                      <w:rFonts w:hint="default"/>
                      <w:color w:val="auto"/>
                    </w:rPr>
                  </w:pPr>
                  <w:r>
                    <w:rPr>
                      <w:rFonts w:hint="default"/>
                      <w:color w:val="auto"/>
                    </w:rPr>
                    <w:t>风险潜势</w:t>
                  </w:r>
                </w:p>
                <w:p>
                  <w:pPr>
                    <w:pStyle w:val="35"/>
                    <w:bidi w:val="0"/>
                    <w:contextualSpacing/>
                    <w:rPr>
                      <w:rFonts w:hint="default"/>
                      <w:color w:val="auto"/>
                    </w:rPr>
                  </w:pPr>
                  <w:r>
                    <w:rPr>
                      <w:rFonts w:hint="default"/>
                      <w:color w:val="auto"/>
                    </w:rPr>
                    <w:t>等级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29" w:type="pct"/>
                  <w:vMerge w:val="restart"/>
                  <w:vAlign w:val="center"/>
                </w:tcPr>
                <w:p>
                  <w:pPr>
                    <w:pStyle w:val="35"/>
                    <w:bidi w:val="0"/>
                    <w:contextualSpacing/>
                    <w:rPr>
                      <w:rFonts w:hint="default"/>
                      <w:color w:val="auto"/>
                    </w:rPr>
                  </w:pPr>
                  <w:r>
                    <w:rPr>
                      <w:rFonts w:hint="default"/>
                      <w:color w:val="auto"/>
                    </w:rPr>
                    <w:t>钻井场</w:t>
                  </w:r>
                </w:p>
              </w:tc>
              <w:tc>
                <w:tcPr>
                  <w:tcW w:w="1519" w:type="pct"/>
                  <w:vAlign w:val="center"/>
                </w:tcPr>
                <w:p>
                  <w:pPr>
                    <w:pStyle w:val="35"/>
                    <w:bidi w:val="0"/>
                    <w:contextualSpacing/>
                    <w:rPr>
                      <w:rFonts w:hint="default"/>
                      <w:color w:val="auto"/>
                    </w:rPr>
                  </w:pPr>
                  <w:r>
                    <w:rPr>
                      <w:rFonts w:hint="default"/>
                      <w:color w:val="auto"/>
                    </w:rPr>
                    <w:t>柴油</w:t>
                  </w:r>
                </w:p>
              </w:tc>
              <w:tc>
                <w:tcPr>
                  <w:tcW w:w="980" w:type="pct"/>
                  <w:vAlign w:val="center"/>
                </w:tcPr>
                <w:p>
                  <w:pPr>
                    <w:pStyle w:val="35"/>
                    <w:bidi w:val="0"/>
                    <w:contextualSpacing/>
                    <w:rPr>
                      <w:rFonts w:hint="default"/>
                      <w:color w:val="auto"/>
                    </w:rPr>
                  </w:pPr>
                  <w:r>
                    <w:rPr>
                      <w:rFonts w:hint="default"/>
                      <w:color w:val="auto"/>
                    </w:rPr>
                    <w:t>20</w:t>
                  </w:r>
                </w:p>
              </w:tc>
              <w:tc>
                <w:tcPr>
                  <w:tcW w:w="799" w:type="pct"/>
                  <w:vAlign w:val="center"/>
                </w:tcPr>
                <w:p>
                  <w:pPr>
                    <w:pStyle w:val="35"/>
                    <w:bidi w:val="0"/>
                    <w:contextualSpacing/>
                    <w:rPr>
                      <w:rFonts w:hint="default"/>
                      <w:color w:val="auto"/>
                    </w:rPr>
                  </w:pPr>
                  <w:r>
                    <w:rPr>
                      <w:rFonts w:hint="default"/>
                      <w:color w:val="auto"/>
                    </w:rPr>
                    <w:t>2500</w:t>
                  </w:r>
                </w:p>
              </w:tc>
              <w:tc>
                <w:tcPr>
                  <w:tcW w:w="599" w:type="pct"/>
                  <w:vAlign w:val="center"/>
                </w:tcPr>
                <w:p>
                  <w:pPr>
                    <w:pStyle w:val="35"/>
                    <w:bidi w:val="0"/>
                    <w:contextualSpacing/>
                    <w:rPr>
                      <w:rFonts w:hint="default"/>
                      <w:color w:val="auto"/>
                    </w:rPr>
                  </w:pPr>
                  <w:r>
                    <w:rPr>
                      <w:rFonts w:hint="default"/>
                      <w:color w:val="auto"/>
                    </w:rPr>
                    <w:t>0.008</w:t>
                  </w:r>
                </w:p>
              </w:tc>
              <w:tc>
                <w:tcPr>
                  <w:tcW w:w="672" w:type="pct"/>
                  <w:vMerge w:val="restart"/>
                  <w:vAlign w:val="center"/>
                </w:tcPr>
                <w:p>
                  <w:pPr>
                    <w:pStyle w:val="35"/>
                    <w:bidi w:val="0"/>
                    <w:contextualSpacing/>
                    <w:rPr>
                      <w:rFonts w:hint="default"/>
                      <w:color w:val="auto"/>
                    </w:rPr>
                  </w:pPr>
                  <w:r>
                    <w:rPr>
                      <w:rFonts w:hint="default"/>
                      <w:color w:val="auto"/>
                    </w:rPr>
                    <w:t>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29" w:type="pct"/>
                  <w:vMerge w:val="continue"/>
                  <w:vAlign w:val="center"/>
                </w:tcPr>
                <w:p>
                  <w:pPr>
                    <w:pStyle w:val="35"/>
                    <w:bidi w:val="0"/>
                    <w:contextualSpacing/>
                    <w:rPr>
                      <w:rFonts w:hint="default"/>
                      <w:color w:val="auto"/>
                    </w:rPr>
                  </w:pPr>
                </w:p>
              </w:tc>
              <w:tc>
                <w:tcPr>
                  <w:tcW w:w="1519" w:type="pct"/>
                  <w:vAlign w:val="center"/>
                </w:tcPr>
                <w:p>
                  <w:pPr>
                    <w:pStyle w:val="35"/>
                    <w:bidi w:val="0"/>
                    <w:contextualSpacing/>
                    <w:rPr>
                      <w:rFonts w:hint="eastAsia" w:eastAsia="宋体"/>
                      <w:color w:val="auto"/>
                      <w:lang w:eastAsia="zh-CN"/>
                    </w:rPr>
                  </w:pPr>
                  <w:r>
                    <w:rPr>
                      <w:rFonts w:hint="eastAsia" w:ascii="Times New Roman" w:eastAsia="宋体"/>
                      <w:color w:val="auto"/>
                      <w:lang w:val="en-US" w:eastAsia="zh-CN"/>
                    </w:rPr>
                    <w:t>矿物油类</w:t>
                  </w:r>
                  <w:r>
                    <w:rPr>
                      <w:rFonts w:hint="eastAsia"/>
                      <w:color w:val="auto"/>
                      <w:lang w:eastAsia="zh-CN"/>
                    </w:rPr>
                    <w:t>（</w:t>
                  </w:r>
                  <w:r>
                    <w:rPr>
                      <w:rFonts w:hint="default"/>
                      <w:color w:val="auto"/>
                    </w:rPr>
                    <w:t>油基钻井液</w:t>
                  </w:r>
                  <w:r>
                    <w:rPr>
                      <w:rFonts w:hint="eastAsia"/>
                      <w:color w:val="auto"/>
                      <w:lang w:eastAsia="zh-CN"/>
                    </w:rPr>
                    <w:t>）</w:t>
                  </w:r>
                </w:p>
              </w:tc>
              <w:tc>
                <w:tcPr>
                  <w:tcW w:w="980" w:type="pct"/>
                  <w:vAlign w:val="center"/>
                </w:tcPr>
                <w:p>
                  <w:pPr>
                    <w:pStyle w:val="35"/>
                    <w:bidi w:val="0"/>
                    <w:contextualSpacing/>
                    <w:rPr>
                      <w:rFonts w:hint="default"/>
                      <w:color w:val="auto"/>
                      <w:lang w:val="en-US"/>
                    </w:rPr>
                  </w:pPr>
                  <w:r>
                    <w:rPr>
                      <w:rFonts w:hint="eastAsia" w:cs="Times New Roman"/>
                      <w:b w:val="0"/>
                      <w:bCs w:val="0"/>
                      <w:color w:val="auto"/>
                      <w:lang w:val="en-US" w:eastAsia="zh-CN"/>
                    </w:rPr>
                    <w:t>252</w:t>
                  </w:r>
                </w:p>
              </w:tc>
              <w:tc>
                <w:tcPr>
                  <w:tcW w:w="799" w:type="pct"/>
                  <w:vAlign w:val="center"/>
                </w:tcPr>
                <w:p>
                  <w:pPr>
                    <w:pStyle w:val="35"/>
                    <w:bidi w:val="0"/>
                    <w:contextualSpacing/>
                    <w:rPr>
                      <w:rFonts w:hint="default"/>
                      <w:color w:val="auto"/>
                    </w:rPr>
                  </w:pPr>
                  <w:r>
                    <w:rPr>
                      <w:rFonts w:hint="default"/>
                      <w:color w:val="auto"/>
                    </w:rPr>
                    <w:t>2500</w:t>
                  </w:r>
                </w:p>
              </w:tc>
              <w:tc>
                <w:tcPr>
                  <w:tcW w:w="599" w:type="pct"/>
                  <w:vAlign w:val="center"/>
                </w:tcPr>
                <w:p>
                  <w:pPr>
                    <w:pStyle w:val="35"/>
                    <w:bidi w:val="0"/>
                    <w:contextualSpacing/>
                    <w:rPr>
                      <w:rFonts w:hint="default" w:eastAsia="宋体"/>
                      <w:color w:val="auto"/>
                      <w:lang w:val="en-US" w:eastAsia="zh-CN"/>
                    </w:rPr>
                  </w:pPr>
                  <w:r>
                    <w:rPr>
                      <w:rFonts w:hint="eastAsia"/>
                      <w:color w:val="auto"/>
                      <w:lang w:val="en-US" w:eastAsia="zh-CN"/>
                    </w:rPr>
                    <w:t>0.101</w:t>
                  </w:r>
                </w:p>
              </w:tc>
              <w:tc>
                <w:tcPr>
                  <w:tcW w:w="672" w:type="pct"/>
                  <w:vMerge w:val="continue"/>
                  <w:vAlign w:val="center"/>
                </w:tcPr>
                <w:p>
                  <w:pPr>
                    <w:pStyle w:val="35"/>
                    <w:bidi w:val="0"/>
                    <w:contextualSpacing/>
                    <w:rPr>
                      <w:rFonts w:hint="default"/>
                      <w:color w:val="auto"/>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29" w:type="pct"/>
                  <w:vMerge w:val="continue"/>
                  <w:vAlign w:val="center"/>
                </w:tcPr>
                <w:p>
                  <w:pPr>
                    <w:pStyle w:val="35"/>
                    <w:bidi w:val="0"/>
                    <w:contextualSpacing/>
                    <w:rPr>
                      <w:rFonts w:hint="default"/>
                      <w:color w:val="auto"/>
                    </w:rPr>
                  </w:pPr>
                </w:p>
              </w:tc>
              <w:tc>
                <w:tcPr>
                  <w:tcW w:w="1519" w:type="pct"/>
                  <w:vAlign w:val="center"/>
                </w:tcPr>
                <w:p>
                  <w:pPr>
                    <w:pStyle w:val="35"/>
                    <w:bidi w:val="0"/>
                    <w:contextualSpacing/>
                    <w:rPr>
                      <w:rFonts w:hint="default"/>
                      <w:color w:val="auto"/>
                    </w:rPr>
                  </w:pPr>
                  <w:r>
                    <w:rPr>
                      <w:rFonts w:hint="eastAsia" w:ascii="Times New Roman" w:eastAsia="宋体"/>
                      <w:color w:val="auto"/>
                      <w:lang w:val="en-US" w:eastAsia="zh-CN"/>
                    </w:rPr>
                    <w:t>矿物油类</w:t>
                  </w:r>
                  <w:r>
                    <w:rPr>
                      <w:rFonts w:hint="eastAsia" w:eastAsia="宋体"/>
                      <w:color w:val="auto"/>
                      <w:lang w:eastAsia="zh-CN"/>
                    </w:rPr>
                    <w:t>（</w:t>
                  </w:r>
                  <w:r>
                    <w:rPr>
                      <w:rFonts w:hint="default"/>
                      <w:color w:val="auto"/>
                    </w:rPr>
                    <w:t>油基钻井岩屑</w:t>
                  </w:r>
                  <w:r>
                    <w:rPr>
                      <w:rFonts w:hint="eastAsia" w:eastAsia="宋体"/>
                      <w:color w:val="auto"/>
                      <w:lang w:eastAsia="zh-CN"/>
                    </w:rPr>
                    <w:t>）</w:t>
                  </w:r>
                </w:p>
              </w:tc>
              <w:tc>
                <w:tcPr>
                  <w:tcW w:w="980" w:type="pct"/>
                  <w:vAlign w:val="center"/>
                </w:tcPr>
                <w:p>
                  <w:pPr>
                    <w:pStyle w:val="35"/>
                    <w:bidi w:val="0"/>
                    <w:contextualSpacing/>
                    <w:rPr>
                      <w:rFonts w:hint="default" w:eastAsia="宋体"/>
                      <w:color w:val="auto"/>
                      <w:lang w:val="en-US" w:eastAsia="zh-CN"/>
                    </w:rPr>
                  </w:pPr>
                  <w:r>
                    <w:rPr>
                      <w:rFonts w:hint="eastAsia"/>
                      <w:color w:val="auto"/>
                      <w:lang w:val="en-US" w:eastAsia="zh-CN"/>
                    </w:rPr>
                    <w:t>25.2</w:t>
                  </w:r>
                </w:p>
              </w:tc>
              <w:tc>
                <w:tcPr>
                  <w:tcW w:w="799" w:type="pct"/>
                  <w:vAlign w:val="center"/>
                </w:tcPr>
                <w:p>
                  <w:pPr>
                    <w:pStyle w:val="35"/>
                    <w:bidi w:val="0"/>
                    <w:contextualSpacing/>
                    <w:rPr>
                      <w:rFonts w:hint="default"/>
                      <w:color w:val="auto"/>
                    </w:rPr>
                  </w:pPr>
                  <w:r>
                    <w:rPr>
                      <w:rFonts w:hint="default"/>
                      <w:color w:val="auto"/>
                    </w:rPr>
                    <w:t>2500</w:t>
                  </w:r>
                </w:p>
              </w:tc>
              <w:tc>
                <w:tcPr>
                  <w:tcW w:w="599" w:type="pct"/>
                  <w:vAlign w:val="center"/>
                </w:tcPr>
                <w:p>
                  <w:pPr>
                    <w:pStyle w:val="35"/>
                    <w:bidi w:val="0"/>
                    <w:contextualSpacing/>
                    <w:rPr>
                      <w:rFonts w:hint="default" w:eastAsia="宋体"/>
                      <w:color w:val="auto"/>
                      <w:lang w:val="en-US" w:eastAsia="zh-CN"/>
                    </w:rPr>
                  </w:pPr>
                  <w:r>
                    <w:rPr>
                      <w:rFonts w:hint="default"/>
                      <w:color w:val="auto"/>
                    </w:rPr>
                    <w:t>0.0</w:t>
                  </w:r>
                  <w:r>
                    <w:rPr>
                      <w:rFonts w:hint="eastAsia"/>
                      <w:color w:val="auto"/>
                      <w:lang w:val="en-US" w:eastAsia="zh-CN"/>
                    </w:rPr>
                    <w:t>10</w:t>
                  </w:r>
                </w:p>
              </w:tc>
              <w:tc>
                <w:tcPr>
                  <w:tcW w:w="672" w:type="pct"/>
                  <w:vMerge w:val="continue"/>
                  <w:vAlign w:val="center"/>
                </w:tcPr>
                <w:p>
                  <w:pPr>
                    <w:pStyle w:val="35"/>
                    <w:bidi w:val="0"/>
                    <w:contextualSpacing/>
                    <w:rPr>
                      <w:rFonts w:hint="default"/>
                      <w:color w:val="auto"/>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29" w:type="pct"/>
                  <w:vMerge w:val="continue"/>
                  <w:vAlign w:val="center"/>
                </w:tcPr>
                <w:p>
                  <w:pPr>
                    <w:pStyle w:val="35"/>
                    <w:bidi w:val="0"/>
                    <w:contextualSpacing/>
                    <w:rPr>
                      <w:rFonts w:hint="default"/>
                      <w:color w:val="auto"/>
                    </w:rPr>
                  </w:pPr>
                </w:p>
              </w:tc>
              <w:tc>
                <w:tcPr>
                  <w:tcW w:w="1519" w:type="pct"/>
                  <w:vAlign w:val="center"/>
                </w:tcPr>
                <w:p>
                  <w:pPr>
                    <w:pStyle w:val="35"/>
                    <w:bidi w:val="0"/>
                    <w:contextualSpacing/>
                    <w:rPr>
                      <w:rFonts w:hint="default"/>
                      <w:color w:val="auto"/>
                    </w:rPr>
                  </w:pPr>
                  <w:r>
                    <w:rPr>
                      <w:rFonts w:hint="eastAsia" w:ascii="Times New Roman" w:eastAsia="宋体"/>
                      <w:color w:val="auto"/>
                      <w:lang w:val="en-US" w:eastAsia="zh-CN"/>
                    </w:rPr>
                    <w:t>矿物油类</w:t>
                  </w:r>
                  <w:r>
                    <w:rPr>
                      <w:rFonts w:hint="eastAsia" w:eastAsia="宋体"/>
                      <w:color w:val="auto"/>
                      <w:lang w:val="en-US" w:eastAsia="zh-CN"/>
                    </w:rPr>
                    <w:t>（</w:t>
                  </w:r>
                  <w:r>
                    <w:rPr>
                      <w:rFonts w:hint="default"/>
                      <w:color w:val="auto"/>
                    </w:rPr>
                    <w:t>废润滑油、废润滑油桶及沾油废防渗材料</w:t>
                  </w:r>
                  <w:r>
                    <w:rPr>
                      <w:rFonts w:hint="eastAsia" w:eastAsia="宋体"/>
                      <w:color w:val="auto"/>
                      <w:lang w:val="en-US" w:eastAsia="zh-CN"/>
                    </w:rPr>
                    <w:t>）</w:t>
                  </w:r>
                </w:p>
              </w:tc>
              <w:tc>
                <w:tcPr>
                  <w:tcW w:w="980" w:type="pct"/>
                  <w:vAlign w:val="center"/>
                </w:tcPr>
                <w:p>
                  <w:pPr>
                    <w:pStyle w:val="35"/>
                    <w:bidi w:val="0"/>
                    <w:contextualSpacing/>
                    <w:rPr>
                      <w:rFonts w:hint="default" w:eastAsia="宋体"/>
                      <w:color w:val="auto"/>
                      <w:lang w:val="en-US" w:eastAsia="zh-CN"/>
                    </w:rPr>
                  </w:pPr>
                  <w:r>
                    <w:rPr>
                      <w:rFonts w:hint="default"/>
                      <w:color w:val="auto"/>
                    </w:rPr>
                    <w:t>1</w:t>
                  </w:r>
                  <w:r>
                    <w:rPr>
                      <w:rFonts w:hint="eastAsia"/>
                      <w:color w:val="auto"/>
                      <w:lang w:val="en-US" w:eastAsia="zh-CN"/>
                    </w:rPr>
                    <w:t>.5</w:t>
                  </w:r>
                </w:p>
              </w:tc>
              <w:tc>
                <w:tcPr>
                  <w:tcW w:w="799" w:type="pct"/>
                  <w:vAlign w:val="center"/>
                </w:tcPr>
                <w:p>
                  <w:pPr>
                    <w:pStyle w:val="35"/>
                    <w:bidi w:val="0"/>
                    <w:contextualSpacing/>
                    <w:rPr>
                      <w:rFonts w:hint="default"/>
                      <w:color w:val="auto"/>
                    </w:rPr>
                  </w:pPr>
                  <w:r>
                    <w:rPr>
                      <w:rFonts w:hint="default"/>
                      <w:color w:val="auto"/>
                    </w:rPr>
                    <w:t>2500</w:t>
                  </w:r>
                </w:p>
              </w:tc>
              <w:tc>
                <w:tcPr>
                  <w:tcW w:w="599" w:type="pct"/>
                  <w:vAlign w:val="center"/>
                </w:tcPr>
                <w:p>
                  <w:pPr>
                    <w:pStyle w:val="35"/>
                    <w:bidi w:val="0"/>
                    <w:contextualSpacing/>
                    <w:rPr>
                      <w:rFonts w:hint="eastAsia" w:eastAsia="宋体"/>
                      <w:color w:val="auto"/>
                      <w:lang w:eastAsia="zh-CN"/>
                    </w:rPr>
                  </w:pPr>
                  <w:r>
                    <w:rPr>
                      <w:rFonts w:hint="default"/>
                      <w:color w:val="auto"/>
                    </w:rPr>
                    <w:t>0.00</w:t>
                  </w:r>
                  <w:r>
                    <w:rPr>
                      <w:rFonts w:hint="eastAsia"/>
                      <w:color w:val="auto"/>
                      <w:lang w:val="en-US" w:eastAsia="zh-CN"/>
                    </w:rPr>
                    <w:t>1</w:t>
                  </w:r>
                </w:p>
              </w:tc>
              <w:tc>
                <w:tcPr>
                  <w:tcW w:w="672" w:type="pct"/>
                  <w:vMerge w:val="continue"/>
                  <w:vAlign w:val="center"/>
                </w:tcPr>
                <w:p>
                  <w:pPr>
                    <w:pStyle w:val="35"/>
                    <w:bidi w:val="0"/>
                    <w:contextualSpacing/>
                    <w:rPr>
                      <w:rFonts w:hint="default"/>
                      <w:color w:val="auto"/>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29" w:type="pct"/>
                  <w:vMerge w:val="continue"/>
                  <w:vAlign w:val="center"/>
                </w:tcPr>
                <w:p>
                  <w:pPr>
                    <w:pStyle w:val="35"/>
                    <w:bidi w:val="0"/>
                    <w:contextualSpacing/>
                    <w:rPr>
                      <w:rFonts w:hint="default"/>
                      <w:color w:val="auto"/>
                    </w:rPr>
                  </w:pPr>
                </w:p>
              </w:tc>
              <w:tc>
                <w:tcPr>
                  <w:tcW w:w="1519" w:type="pct"/>
                  <w:vAlign w:val="center"/>
                </w:tcPr>
                <w:p>
                  <w:pPr>
                    <w:pStyle w:val="35"/>
                    <w:bidi w:val="0"/>
                    <w:contextualSpacing/>
                    <w:rPr>
                      <w:rFonts w:hint="default"/>
                      <w:color w:val="auto"/>
                    </w:rPr>
                  </w:pPr>
                  <w:r>
                    <w:rPr>
                      <w:rFonts w:hint="default"/>
                      <w:color w:val="auto"/>
                    </w:rPr>
                    <w:t>小计</w:t>
                  </w:r>
                </w:p>
              </w:tc>
              <w:tc>
                <w:tcPr>
                  <w:tcW w:w="980" w:type="pct"/>
                  <w:vAlign w:val="center"/>
                </w:tcPr>
                <w:p>
                  <w:pPr>
                    <w:pStyle w:val="35"/>
                    <w:bidi w:val="0"/>
                    <w:contextualSpacing/>
                    <w:rPr>
                      <w:rFonts w:hint="default"/>
                      <w:color w:val="auto"/>
                    </w:rPr>
                  </w:pPr>
                  <w:r>
                    <w:rPr>
                      <w:rFonts w:hint="default"/>
                      <w:color w:val="auto"/>
                    </w:rPr>
                    <w:t>/</w:t>
                  </w:r>
                </w:p>
              </w:tc>
              <w:tc>
                <w:tcPr>
                  <w:tcW w:w="799" w:type="pct"/>
                  <w:vAlign w:val="center"/>
                </w:tcPr>
                <w:p>
                  <w:pPr>
                    <w:pStyle w:val="35"/>
                    <w:bidi w:val="0"/>
                    <w:contextualSpacing/>
                    <w:rPr>
                      <w:rFonts w:hint="default"/>
                      <w:color w:val="auto"/>
                    </w:rPr>
                  </w:pPr>
                  <w:r>
                    <w:rPr>
                      <w:rFonts w:hint="default"/>
                      <w:color w:val="auto"/>
                    </w:rPr>
                    <w:t>/</w:t>
                  </w:r>
                </w:p>
              </w:tc>
              <w:tc>
                <w:tcPr>
                  <w:tcW w:w="599" w:type="pct"/>
                  <w:vAlign w:val="center"/>
                </w:tcPr>
                <w:p>
                  <w:pPr>
                    <w:pStyle w:val="35"/>
                    <w:bidi w:val="0"/>
                    <w:contextualSpacing/>
                    <w:rPr>
                      <w:rFonts w:hint="default" w:eastAsia="宋体"/>
                      <w:color w:val="auto"/>
                      <w:lang w:val="en-US" w:eastAsia="zh-CN"/>
                    </w:rPr>
                  </w:pPr>
                  <w:r>
                    <w:rPr>
                      <w:rFonts w:hint="eastAsia"/>
                      <w:color w:val="auto"/>
                      <w:lang w:val="en-US" w:eastAsia="zh-CN"/>
                    </w:rPr>
                    <w:t>0.120</w:t>
                  </w:r>
                </w:p>
              </w:tc>
              <w:tc>
                <w:tcPr>
                  <w:tcW w:w="672" w:type="pct"/>
                  <w:vMerge w:val="continue"/>
                  <w:vAlign w:val="center"/>
                </w:tcPr>
                <w:p>
                  <w:pPr>
                    <w:pStyle w:val="35"/>
                    <w:bidi w:val="0"/>
                    <w:contextualSpacing/>
                    <w:rPr>
                      <w:rFonts w:hint="default"/>
                      <w:color w:val="auto"/>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29" w:type="pct"/>
                  <w:vMerge w:val="restart"/>
                  <w:vAlign w:val="center"/>
                </w:tcPr>
                <w:p>
                  <w:pPr>
                    <w:pStyle w:val="35"/>
                    <w:bidi w:val="0"/>
                    <w:contextualSpacing/>
                    <w:rPr>
                      <w:rFonts w:hint="default"/>
                      <w:color w:val="auto"/>
                    </w:rPr>
                  </w:pPr>
                  <w:r>
                    <w:rPr>
                      <w:rFonts w:hint="default"/>
                      <w:color w:val="auto"/>
                    </w:rPr>
                    <w:t>试油井场</w:t>
                  </w:r>
                </w:p>
              </w:tc>
              <w:tc>
                <w:tcPr>
                  <w:tcW w:w="1519" w:type="pct"/>
                  <w:vAlign w:val="center"/>
                </w:tcPr>
                <w:p>
                  <w:pPr>
                    <w:pStyle w:val="35"/>
                    <w:bidi w:val="0"/>
                    <w:contextualSpacing/>
                    <w:rPr>
                      <w:rFonts w:hint="default"/>
                      <w:color w:val="auto"/>
                    </w:rPr>
                  </w:pPr>
                  <w:r>
                    <w:rPr>
                      <w:rFonts w:hint="default"/>
                      <w:color w:val="auto"/>
                    </w:rPr>
                    <w:t>柴油</w:t>
                  </w:r>
                </w:p>
              </w:tc>
              <w:tc>
                <w:tcPr>
                  <w:tcW w:w="980" w:type="pct"/>
                  <w:vAlign w:val="center"/>
                </w:tcPr>
                <w:p>
                  <w:pPr>
                    <w:pStyle w:val="35"/>
                    <w:bidi w:val="0"/>
                    <w:contextualSpacing/>
                    <w:rPr>
                      <w:rFonts w:hint="default"/>
                      <w:color w:val="auto"/>
                    </w:rPr>
                  </w:pPr>
                  <w:r>
                    <w:rPr>
                      <w:rFonts w:hint="default"/>
                      <w:color w:val="auto"/>
                    </w:rPr>
                    <w:t>20</w:t>
                  </w:r>
                </w:p>
              </w:tc>
              <w:tc>
                <w:tcPr>
                  <w:tcW w:w="799" w:type="pct"/>
                  <w:vAlign w:val="center"/>
                </w:tcPr>
                <w:p>
                  <w:pPr>
                    <w:pStyle w:val="35"/>
                    <w:bidi w:val="0"/>
                    <w:contextualSpacing/>
                    <w:rPr>
                      <w:rFonts w:hint="default"/>
                      <w:color w:val="auto"/>
                    </w:rPr>
                  </w:pPr>
                  <w:r>
                    <w:rPr>
                      <w:rFonts w:hint="default"/>
                      <w:color w:val="auto"/>
                    </w:rPr>
                    <w:t>2500</w:t>
                  </w:r>
                </w:p>
              </w:tc>
              <w:tc>
                <w:tcPr>
                  <w:tcW w:w="599" w:type="pct"/>
                  <w:vAlign w:val="center"/>
                </w:tcPr>
                <w:p>
                  <w:pPr>
                    <w:pStyle w:val="35"/>
                    <w:bidi w:val="0"/>
                    <w:contextualSpacing/>
                    <w:rPr>
                      <w:rFonts w:hint="default"/>
                      <w:color w:val="auto"/>
                    </w:rPr>
                  </w:pPr>
                  <w:r>
                    <w:rPr>
                      <w:rFonts w:hint="default"/>
                      <w:color w:val="auto"/>
                    </w:rPr>
                    <w:t>0.008</w:t>
                  </w:r>
                </w:p>
              </w:tc>
              <w:tc>
                <w:tcPr>
                  <w:tcW w:w="672" w:type="pct"/>
                  <w:vMerge w:val="restart"/>
                  <w:vAlign w:val="center"/>
                </w:tcPr>
                <w:p>
                  <w:pPr>
                    <w:pStyle w:val="35"/>
                    <w:bidi w:val="0"/>
                    <w:contextualSpacing/>
                    <w:rPr>
                      <w:rFonts w:hint="default"/>
                      <w:color w:val="auto"/>
                    </w:rPr>
                  </w:pPr>
                  <w:r>
                    <w:rPr>
                      <w:rFonts w:hint="default"/>
                      <w:color w:val="auto"/>
                    </w:rPr>
                    <w:t>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29" w:type="pct"/>
                  <w:vMerge w:val="continue"/>
                  <w:vAlign w:val="center"/>
                </w:tcPr>
                <w:p>
                  <w:pPr>
                    <w:pStyle w:val="35"/>
                    <w:bidi w:val="0"/>
                    <w:contextualSpacing/>
                    <w:rPr>
                      <w:rFonts w:hint="default"/>
                      <w:color w:val="auto"/>
                    </w:rPr>
                  </w:pPr>
                </w:p>
              </w:tc>
              <w:tc>
                <w:tcPr>
                  <w:tcW w:w="1519" w:type="pct"/>
                  <w:vAlign w:val="center"/>
                </w:tcPr>
                <w:p>
                  <w:pPr>
                    <w:pStyle w:val="35"/>
                    <w:bidi w:val="0"/>
                    <w:contextualSpacing/>
                    <w:rPr>
                      <w:rFonts w:hint="eastAsia" w:eastAsia="宋体"/>
                      <w:color w:val="auto"/>
                      <w:lang w:val="en-US" w:eastAsia="zh-CN"/>
                    </w:rPr>
                  </w:pPr>
                  <w:r>
                    <w:rPr>
                      <w:rFonts w:hint="default"/>
                      <w:color w:val="auto"/>
                    </w:rPr>
                    <w:t>采出液</w:t>
                  </w:r>
                  <w:r>
                    <w:rPr>
                      <w:rFonts w:hint="eastAsia"/>
                      <w:color w:val="auto"/>
                      <w:lang w:eastAsia="zh-CN"/>
                    </w:rPr>
                    <w:t>（</w:t>
                  </w:r>
                  <w:r>
                    <w:rPr>
                      <w:rFonts w:hint="eastAsia"/>
                      <w:color w:val="auto"/>
                      <w:lang w:val="en-US" w:eastAsia="zh-CN"/>
                    </w:rPr>
                    <w:t>原油</w:t>
                  </w:r>
                  <w:r>
                    <w:rPr>
                      <w:rFonts w:hint="eastAsia"/>
                      <w:color w:val="auto"/>
                      <w:lang w:eastAsia="zh-CN"/>
                    </w:rPr>
                    <w:t>）</w:t>
                  </w:r>
                </w:p>
              </w:tc>
              <w:tc>
                <w:tcPr>
                  <w:tcW w:w="980" w:type="pct"/>
                  <w:vAlign w:val="center"/>
                </w:tcPr>
                <w:p>
                  <w:pPr>
                    <w:pStyle w:val="35"/>
                    <w:bidi w:val="0"/>
                    <w:contextualSpacing/>
                    <w:rPr>
                      <w:rFonts w:hint="default"/>
                      <w:color w:val="auto"/>
                    </w:rPr>
                  </w:pPr>
                  <w:r>
                    <w:rPr>
                      <w:rFonts w:hint="default"/>
                      <w:color w:val="auto"/>
                    </w:rPr>
                    <w:t>69.6</w:t>
                  </w:r>
                </w:p>
              </w:tc>
              <w:tc>
                <w:tcPr>
                  <w:tcW w:w="799" w:type="pct"/>
                  <w:vAlign w:val="center"/>
                </w:tcPr>
                <w:p>
                  <w:pPr>
                    <w:pStyle w:val="35"/>
                    <w:bidi w:val="0"/>
                    <w:contextualSpacing/>
                    <w:rPr>
                      <w:rFonts w:hint="default"/>
                      <w:color w:val="auto"/>
                    </w:rPr>
                  </w:pPr>
                  <w:r>
                    <w:rPr>
                      <w:rFonts w:hint="default"/>
                      <w:color w:val="auto"/>
                    </w:rPr>
                    <w:t>2500</w:t>
                  </w:r>
                </w:p>
              </w:tc>
              <w:tc>
                <w:tcPr>
                  <w:tcW w:w="599" w:type="pct"/>
                  <w:vAlign w:val="center"/>
                </w:tcPr>
                <w:p>
                  <w:pPr>
                    <w:pStyle w:val="35"/>
                    <w:bidi w:val="0"/>
                    <w:contextualSpacing/>
                    <w:rPr>
                      <w:rFonts w:hint="default"/>
                      <w:color w:val="auto"/>
                    </w:rPr>
                  </w:pPr>
                  <w:r>
                    <w:rPr>
                      <w:rFonts w:hint="default"/>
                      <w:color w:val="auto"/>
                    </w:rPr>
                    <w:t>0.0278</w:t>
                  </w:r>
                </w:p>
              </w:tc>
              <w:tc>
                <w:tcPr>
                  <w:tcW w:w="672" w:type="pct"/>
                  <w:vMerge w:val="continue"/>
                  <w:vAlign w:val="center"/>
                </w:tcPr>
                <w:p>
                  <w:pPr>
                    <w:pStyle w:val="35"/>
                    <w:bidi w:val="0"/>
                    <w:contextualSpacing/>
                    <w:rPr>
                      <w:rFonts w:hint="eastAsia"/>
                      <w:color w:val="auto"/>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29" w:type="pct"/>
                  <w:vMerge w:val="continue"/>
                  <w:vAlign w:val="center"/>
                </w:tcPr>
                <w:p>
                  <w:pPr>
                    <w:pStyle w:val="35"/>
                    <w:bidi w:val="0"/>
                    <w:contextualSpacing/>
                    <w:rPr>
                      <w:rFonts w:hint="default"/>
                      <w:color w:val="auto"/>
                    </w:rPr>
                  </w:pPr>
                </w:p>
              </w:tc>
              <w:tc>
                <w:tcPr>
                  <w:tcW w:w="1519" w:type="pct"/>
                  <w:vAlign w:val="center"/>
                </w:tcPr>
                <w:p>
                  <w:pPr>
                    <w:pStyle w:val="35"/>
                    <w:bidi w:val="0"/>
                    <w:contextualSpacing/>
                    <w:rPr>
                      <w:rFonts w:hint="default"/>
                      <w:color w:val="auto"/>
                    </w:rPr>
                  </w:pPr>
                  <w:r>
                    <w:rPr>
                      <w:rFonts w:hint="default"/>
                      <w:color w:val="auto"/>
                    </w:rPr>
                    <w:t>小计</w:t>
                  </w:r>
                </w:p>
              </w:tc>
              <w:tc>
                <w:tcPr>
                  <w:tcW w:w="980" w:type="pct"/>
                  <w:vAlign w:val="center"/>
                </w:tcPr>
                <w:p>
                  <w:pPr>
                    <w:pStyle w:val="35"/>
                    <w:bidi w:val="0"/>
                    <w:contextualSpacing/>
                    <w:rPr>
                      <w:rFonts w:hint="default"/>
                      <w:color w:val="auto"/>
                    </w:rPr>
                  </w:pPr>
                  <w:r>
                    <w:rPr>
                      <w:rFonts w:hint="default"/>
                      <w:color w:val="auto"/>
                    </w:rPr>
                    <w:t>/</w:t>
                  </w:r>
                </w:p>
              </w:tc>
              <w:tc>
                <w:tcPr>
                  <w:tcW w:w="799" w:type="pct"/>
                  <w:vAlign w:val="center"/>
                </w:tcPr>
                <w:p>
                  <w:pPr>
                    <w:pStyle w:val="35"/>
                    <w:bidi w:val="0"/>
                    <w:contextualSpacing/>
                    <w:rPr>
                      <w:rFonts w:hint="default"/>
                      <w:color w:val="auto"/>
                    </w:rPr>
                  </w:pPr>
                  <w:r>
                    <w:rPr>
                      <w:rFonts w:hint="default"/>
                      <w:color w:val="auto"/>
                    </w:rPr>
                    <w:t>/</w:t>
                  </w:r>
                </w:p>
              </w:tc>
              <w:tc>
                <w:tcPr>
                  <w:tcW w:w="599" w:type="pct"/>
                  <w:vAlign w:val="center"/>
                </w:tcPr>
                <w:p>
                  <w:pPr>
                    <w:pStyle w:val="35"/>
                    <w:bidi w:val="0"/>
                    <w:contextualSpacing/>
                    <w:rPr>
                      <w:rFonts w:hint="default"/>
                      <w:color w:val="auto"/>
                    </w:rPr>
                  </w:pPr>
                  <w:r>
                    <w:rPr>
                      <w:rFonts w:hint="default"/>
                      <w:color w:val="auto"/>
                    </w:rPr>
                    <w:t>0.0358</w:t>
                  </w:r>
                </w:p>
              </w:tc>
              <w:tc>
                <w:tcPr>
                  <w:tcW w:w="672" w:type="pct"/>
                  <w:vMerge w:val="continue"/>
                  <w:vAlign w:val="center"/>
                </w:tcPr>
                <w:p>
                  <w:pPr>
                    <w:pStyle w:val="35"/>
                    <w:bidi w:val="0"/>
                    <w:contextualSpacing/>
                    <w:rPr>
                      <w:rFonts w:hint="eastAsia"/>
                      <w:color w:val="auto"/>
                    </w:rPr>
                  </w:pPr>
                </w:p>
              </w:tc>
            </w:tr>
          </w:tbl>
          <w:p>
            <w:pPr>
              <w:widowControl/>
              <w:snapToGrid w:val="0"/>
              <w:spacing w:line="500" w:lineRule="exact"/>
              <w:ind w:firstLine="480" w:firstLineChars="200"/>
              <w:jc w:val="both"/>
              <w:rPr>
                <w:rFonts w:hint="default" w:ascii="Times New Roman" w:hAnsi="Times New Roman" w:eastAsia="宋体" w:cs="Times New Roman"/>
                <w:b w:val="0"/>
                <w:bCs w:val="0"/>
                <w:color w:val="auto"/>
                <w:kern w:val="0"/>
                <w:sz w:val="24"/>
                <w:szCs w:val="24"/>
                <w:lang w:val="en-US" w:eastAsia="zh-CN" w:bidi="ar-SA"/>
              </w:rPr>
            </w:pPr>
            <w:r>
              <w:rPr>
                <w:rFonts w:hint="default" w:ascii="Times New Roman" w:hAnsi="Times New Roman" w:eastAsia="宋体" w:cs="Times New Roman"/>
                <w:b w:val="0"/>
                <w:bCs w:val="0"/>
                <w:color w:val="auto"/>
                <w:kern w:val="0"/>
                <w:sz w:val="24"/>
                <w:szCs w:val="24"/>
                <w:lang w:val="en-US" w:eastAsia="zh-CN" w:bidi="ar-SA"/>
              </w:rPr>
              <w:t>综上所述，本项目井场钻井期、试油期Q值均小于1，评价工作等级为简单分析。</w:t>
            </w:r>
          </w:p>
          <w:p>
            <w:pPr>
              <w:pStyle w:val="10"/>
              <w:ind w:firstLine="480"/>
              <w:rPr>
                <w:rFonts w:hint="default" w:ascii="Times New Roman" w:hAnsi="Times New Roman" w:cs="Times New Roman"/>
                <w:b w:val="0"/>
                <w:bCs w:val="0"/>
                <w:color w:val="auto"/>
              </w:rPr>
            </w:pPr>
            <w:r>
              <w:rPr>
                <w:rFonts w:hint="default" w:ascii="Times New Roman" w:hAnsi="Times New Roman" w:cs="Times New Roman"/>
                <w:b w:val="0"/>
                <w:bCs w:val="0"/>
                <w:color w:val="auto"/>
              </w:rPr>
              <w:t>（2）环境敏感目标概况</w:t>
            </w:r>
          </w:p>
          <w:p>
            <w:pPr>
              <w:pStyle w:val="10"/>
              <w:bidi w:val="0"/>
              <w:rPr>
                <w:rFonts w:hint="default"/>
                <w:color w:val="auto"/>
              </w:rPr>
            </w:pPr>
            <w:r>
              <w:rPr>
                <w:rFonts w:hint="default"/>
                <w:color w:val="auto"/>
                <w:lang w:val="en-US" w:eastAsia="zh-CN"/>
              </w:rPr>
              <w:t>根据《建设项目环境风险评价技术导则》（HJ169-2018）附录D对环境敏感目标进行筛选。本项目周边5km无居住区、医疗卫生、文化教育、科研、行政办公等机构，无人口分布；周边无受纳地表水体；项目不涉及集中式饮用水水源保护区、准保护区和水源径流区等敏感区域；因此，项目</w:t>
            </w:r>
            <w:r>
              <w:rPr>
                <w:rFonts w:hint="eastAsia"/>
                <w:color w:val="auto"/>
                <w:lang w:val="en-US" w:eastAsia="zh-CN"/>
              </w:rPr>
              <w:t>不涉及大气、地表水和地下水</w:t>
            </w:r>
            <w:r>
              <w:rPr>
                <w:rFonts w:hint="default"/>
                <w:color w:val="auto"/>
              </w:rPr>
              <w:t>环境敏感目标。</w:t>
            </w:r>
          </w:p>
          <w:p>
            <w:pPr>
              <w:pStyle w:val="10"/>
              <w:ind w:firstLine="480"/>
              <w:rPr>
                <w:rFonts w:hint="default" w:ascii="Times New Roman" w:hAnsi="Times New Roman" w:cs="Times New Roman"/>
                <w:b w:val="0"/>
                <w:bCs w:val="0"/>
                <w:color w:val="auto"/>
              </w:rPr>
            </w:pPr>
            <w:r>
              <w:rPr>
                <w:rFonts w:hint="default" w:ascii="Times New Roman" w:hAnsi="Times New Roman" w:cs="Times New Roman"/>
                <w:b w:val="0"/>
                <w:bCs w:val="0"/>
                <w:color w:val="auto"/>
              </w:rPr>
              <w:t>（3）环境风险识别</w:t>
            </w:r>
          </w:p>
          <w:p>
            <w:pPr>
              <w:snapToGrid w:val="0"/>
              <w:spacing w:line="50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①危险物质识别</w:t>
            </w:r>
          </w:p>
          <w:p>
            <w:pPr>
              <w:snapToGrid w:val="0"/>
              <w:spacing w:line="50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施工期间涉及的环境危险物质主要为柴油、原油、伴生气（主要成分为天然气），其主要物化、毒理性质、危险等级划分及影响途径见表</w:t>
            </w:r>
            <w:r>
              <w:rPr>
                <w:rFonts w:hint="default" w:ascii="Times New Roman" w:hAnsi="Times New Roman" w:cs="Times New Roman"/>
                <w:color w:val="auto"/>
                <w:lang w:val="en-US" w:eastAsia="zh-CN"/>
              </w:rPr>
              <w:t>4-</w:t>
            </w:r>
            <w:r>
              <w:rPr>
                <w:rFonts w:hint="eastAsia" w:cs="Times New Roman"/>
                <w:color w:val="auto"/>
                <w:lang w:val="en-US" w:eastAsia="zh-CN"/>
              </w:rPr>
              <w:t>7</w:t>
            </w:r>
            <w:r>
              <w:rPr>
                <w:rFonts w:hint="default" w:ascii="Times New Roman" w:hAnsi="Times New Roman" w:cs="Times New Roman"/>
                <w:color w:val="auto"/>
              </w:rPr>
              <w:t>。</w:t>
            </w:r>
          </w:p>
          <w:p>
            <w:pPr>
              <w:snapToGrid w:val="0"/>
              <w:spacing w:line="500" w:lineRule="exact"/>
              <w:jc w:val="center"/>
              <w:rPr>
                <w:rFonts w:hint="default" w:ascii="Times New Roman" w:hAnsi="Times New Roman" w:eastAsia="黑体" w:cs="Times New Roman"/>
                <w:color w:val="auto"/>
                <w:sz w:val="21"/>
                <w:szCs w:val="21"/>
              </w:rPr>
            </w:pPr>
          </w:p>
          <w:p>
            <w:pPr>
              <w:snapToGrid w:val="0"/>
              <w:spacing w:line="500" w:lineRule="exact"/>
              <w:jc w:val="center"/>
              <w:rPr>
                <w:rFonts w:hint="default" w:ascii="Times New Roman" w:hAnsi="Times New Roman" w:eastAsia="黑体" w:cs="Times New Roman"/>
                <w:color w:val="auto"/>
                <w:sz w:val="21"/>
                <w:szCs w:val="21"/>
              </w:rPr>
            </w:pPr>
          </w:p>
          <w:p>
            <w:pPr>
              <w:snapToGrid w:val="0"/>
              <w:spacing w:line="500" w:lineRule="exact"/>
              <w:jc w:val="center"/>
              <w:rPr>
                <w:rFonts w:hint="default" w:ascii="Times New Roman" w:hAnsi="Times New Roman" w:eastAsia="黑体" w:cs="Times New Roman"/>
                <w:color w:val="auto"/>
                <w:sz w:val="21"/>
                <w:szCs w:val="21"/>
              </w:rPr>
            </w:pPr>
            <w:r>
              <w:rPr>
                <w:rFonts w:hint="default" w:ascii="Times New Roman" w:hAnsi="Times New Roman" w:eastAsia="黑体" w:cs="Times New Roman"/>
                <w:color w:val="auto"/>
                <w:sz w:val="21"/>
                <w:szCs w:val="21"/>
              </w:rPr>
              <w:t>表</w:t>
            </w:r>
            <w:r>
              <w:rPr>
                <w:rFonts w:hint="default" w:ascii="Times New Roman" w:hAnsi="Times New Roman" w:eastAsia="黑体" w:cs="Times New Roman"/>
                <w:color w:val="auto"/>
                <w:sz w:val="21"/>
                <w:szCs w:val="21"/>
                <w:lang w:val="en-US" w:eastAsia="zh-CN"/>
              </w:rPr>
              <w:t>4-</w:t>
            </w:r>
            <w:r>
              <w:rPr>
                <w:rFonts w:hint="eastAsia" w:eastAsia="黑体" w:cs="Times New Roman"/>
                <w:color w:val="auto"/>
                <w:sz w:val="21"/>
                <w:szCs w:val="21"/>
                <w:lang w:val="en-US" w:eastAsia="zh-CN"/>
              </w:rPr>
              <w:t>7</w:t>
            </w:r>
            <w:r>
              <w:rPr>
                <w:rFonts w:hint="default" w:ascii="Times New Roman" w:hAnsi="Times New Roman" w:eastAsia="黑体" w:cs="Times New Roman"/>
                <w:color w:val="auto"/>
                <w:sz w:val="21"/>
                <w:szCs w:val="21"/>
              </w:rPr>
              <w:t xml:space="preserve">  </w:t>
            </w:r>
            <w:r>
              <w:rPr>
                <w:rFonts w:hint="default" w:ascii="Times New Roman" w:hAnsi="Times New Roman" w:eastAsia="黑体" w:cs="Times New Roman"/>
                <w:color w:val="auto"/>
                <w:sz w:val="21"/>
                <w:szCs w:val="21"/>
                <w:lang w:val="zh-CN"/>
              </w:rPr>
              <w:t>原油、柴油、伴生气理化性质及危险级别分类</w:t>
            </w:r>
            <w:r>
              <w:rPr>
                <w:rFonts w:hint="default" w:ascii="Times New Roman" w:hAnsi="Times New Roman" w:eastAsia="黑体" w:cs="Times New Roman"/>
                <w:color w:val="auto"/>
                <w:sz w:val="21"/>
                <w:szCs w:val="21"/>
              </w:rPr>
              <w:t>表</w:t>
            </w:r>
          </w:p>
          <w:tbl>
            <w:tblPr>
              <w:tblStyle w:val="28"/>
              <w:tblW w:w="7306"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43"/>
              <w:gridCol w:w="503"/>
              <w:gridCol w:w="909"/>
              <w:gridCol w:w="2686"/>
              <w:gridCol w:w="1722"/>
              <w:gridCol w:w="582"/>
              <w:gridCol w:w="66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66" w:type="pct"/>
                  <w:vAlign w:val="center"/>
                </w:tcPr>
                <w:p>
                  <w:pPr>
                    <w:snapToGrid w:val="0"/>
                    <w:spacing w:line="26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序号</w:t>
                  </w:r>
                </w:p>
              </w:tc>
              <w:tc>
                <w:tcPr>
                  <w:tcW w:w="344" w:type="pct"/>
                  <w:vAlign w:val="center"/>
                </w:tcPr>
                <w:p>
                  <w:pPr>
                    <w:snapToGrid w:val="0"/>
                    <w:spacing w:line="26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名称</w:t>
                  </w:r>
                </w:p>
              </w:tc>
              <w:tc>
                <w:tcPr>
                  <w:tcW w:w="622" w:type="pct"/>
                  <w:vAlign w:val="center"/>
                </w:tcPr>
                <w:p>
                  <w:pPr>
                    <w:snapToGrid w:val="0"/>
                    <w:spacing w:line="26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组分</w:t>
                  </w:r>
                </w:p>
              </w:tc>
              <w:tc>
                <w:tcPr>
                  <w:tcW w:w="1837" w:type="pct"/>
                  <w:vAlign w:val="center"/>
                </w:tcPr>
                <w:p>
                  <w:pPr>
                    <w:snapToGrid w:val="0"/>
                    <w:spacing w:line="26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危险性</w:t>
                  </w:r>
                </w:p>
              </w:tc>
              <w:tc>
                <w:tcPr>
                  <w:tcW w:w="1178" w:type="pct"/>
                  <w:vAlign w:val="center"/>
                </w:tcPr>
                <w:p>
                  <w:pPr>
                    <w:snapToGrid w:val="0"/>
                    <w:spacing w:line="26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燃烧爆炸特性参数</w:t>
                  </w:r>
                </w:p>
              </w:tc>
              <w:tc>
                <w:tcPr>
                  <w:tcW w:w="398" w:type="pct"/>
                  <w:vAlign w:val="center"/>
                </w:tcPr>
                <w:p>
                  <w:pPr>
                    <w:snapToGrid w:val="0"/>
                    <w:spacing w:line="26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危险级别</w:t>
                  </w:r>
                </w:p>
              </w:tc>
              <w:tc>
                <w:tcPr>
                  <w:tcW w:w="452" w:type="pct"/>
                  <w:vAlign w:val="center"/>
                </w:tcPr>
                <w:p>
                  <w:pPr>
                    <w:snapToGrid w:val="0"/>
                    <w:spacing w:line="26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影响</w:t>
                  </w:r>
                </w:p>
                <w:p>
                  <w:pPr>
                    <w:snapToGrid w:val="0"/>
                    <w:spacing w:line="26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途径</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66" w:type="pct"/>
                  <w:vAlign w:val="center"/>
                </w:tcPr>
                <w:p>
                  <w:pPr>
                    <w:snapToGrid w:val="0"/>
                    <w:spacing w:line="26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c>
                <w:tcPr>
                  <w:tcW w:w="344" w:type="pct"/>
                  <w:vAlign w:val="center"/>
                </w:tcPr>
                <w:p>
                  <w:pPr>
                    <w:snapToGrid w:val="0"/>
                    <w:spacing w:line="26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原油/白油</w:t>
                  </w:r>
                </w:p>
              </w:tc>
              <w:tc>
                <w:tcPr>
                  <w:tcW w:w="622" w:type="pct"/>
                  <w:vAlign w:val="center"/>
                </w:tcPr>
                <w:p>
                  <w:pPr>
                    <w:snapToGrid w:val="0"/>
                    <w:spacing w:line="26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各种烃类和非烃类化合物所组成的复杂混合物</w:t>
                  </w:r>
                </w:p>
              </w:tc>
              <w:tc>
                <w:tcPr>
                  <w:tcW w:w="1837" w:type="pct"/>
                  <w:vAlign w:val="center"/>
                </w:tcPr>
                <w:p>
                  <w:pPr>
                    <w:snapToGrid w:val="0"/>
                    <w:spacing w:line="260" w:lineRule="exac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原油本身无明显毒性。遇热分解出有毒烟雾，人体大量吸入可引起危害：有刺激和麻痹作用，急性中毒者有上呼吸道刺激症状</w:t>
                  </w:r>
                </w:p>
              </w:tc>
              <w:tc>
                <w:tcPr>
                  <w:tcW w:w="1178" w:type="pct"/>
                  <w:vAlign w:val="center"/>
                </w:tcPr>
                <w:p>
                  <w:pPr>
                    <w:snapToGrid w:val="0"/>
                    <w:spacing w:line="26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热值：41870kJ/kg；沸点：300～325℃；闪点：23.5℃；爆炸极限：1.1～6.4%（V）；自燃点：380～530℃</w:t>
                  </w:r>
                </w:p>
              </w:tc>
              <w:tc>
                <w:tcPr>
                  <w:tcW w:w="398" w:type="pct"/>
                  <w:vAlign w:val="center"/>
                </w:tcPr>
                <w:p>
                  <w:pPr>
                    <w:snapToGrid w:val="0"/>
                    <w:spacing w:line="26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高闪点液体</w:t>
                  </w:r>
                </w:p>
              </w:tc>
              <w:tc>
                <w:tcPr>
                  <w:tcW w:w="452" w:type="pct"/>
                  <w:vAlign w:val="center"/>
                </w:tcPr>
                <w:p>
                  <w:pPr>
                    <w:snapToGrid w:val="0"/>
                    <w:spacing w:line="26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大气、地下水、土壤</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66" w:type="pct"/>
                  <w:vAlign w:val="center"/>
                </w:tcPr>
                <w:p>
                  <w:pPr>
                    <w:snapToGrid w:val="0"/>
                    <w:spacing w:line="26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w:t>
                  </w:r>
                </w:p>
              </w:tc>
              <w:tc>
                <w:tcPr>
                  <w:tcW w:w="344" w:type="pct"/>
                  <w:vAlign w:val="center"/>
                </w:tcPr>
                <w:p>
                  <w:pPr>
                    <w:snapToGrid w:val="0"/>
                    <w:spacing w:line="26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伴生气</w:t>
                  </w:r>
                </w:p>
              </w:tc>
              <w:tc>
                <w:tcPr>
                  <w:tcW w:w="622" w:type="pct"/>
                  <w:vAlign w:val="center"/>
                </w:tcPr>
                <w:p>
                  <w:pPr>
                    <w:snapToGrid w:val="0"/>
                    <w:spacing w:line="26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主要成分包括甲烷、乙烷等</w:t>
                  </w:r>
                </w:p>
              </w:tc>
              <w:tc>
                <w:tcPr>
                  <w:tcW w:w="1837" w:type="pct"/>
                  <w:vAlign w:val="center"/>
                </w:tcPr>
                <w:p>
                  <w:pPr>
                    <w:snapToGrid w:val="0"/>
                    <w:spacing w:line="260" w:lineRule="exac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伴生气主要成分为天然气。天然气中含有的甲烷，是一种无毒气体，当空气中大量弥漫这种气体时会使人因氧气不足而呼吸困难，进而失去知觉、昏迷甚至残废</w:t>
                  </w:r>
                </w:p>
              </w:tc>
              <w:tc>
                <w:tcPr>
                  <w:tcW w:w="1178" w:type="pct"/>
                  <w:vAlign w:val="center"/>
                </w:tcPr>
                <w:p>
                  <w:pPr>
                    <w:snapToGrid w:val="0"/>
                    <w:spacing w:line="26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热值：50009kJ/kg；爆炸极限：5～14%（V）；自燃点：482～632℃</w:t>
                  </w:r>
                </w:p>
              </w:tc>
              <w:tc>
                <w:tcPr>
                  <w:tcW w:w="398" w:type="pct"/>
                  <w:vAlign w:val="center"/>
                </w:tcPr>
                <w:p>
                  <w:pPr>
                    <w:snapToGrid w:val="0"/>
                    <w:spacing w:line="26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易燃气体</w:t>
                  </w:r>
                </w:p>
              </w:tc>
              <w:tc>
                <w:tcPr>
                  <w:tcW w:w="452" w:type="pct"/>
                  <w:vAlign w:val="center"/>
                </w:tcPr>
                <w:p>
                  <w:pPr>
                    <w:snapToGrid w:val="0"/>
                    <w:spacing w:line="26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大气</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66" w:type="pct"/>
                  <w:vAlign w:val="center"/>
                </w:tcPr>
                <w:p>
                  <w:pPr>
                    <w:snapToGrid w:val="0"/>
                    <w:spacing w:line="26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w:t>
                  </w:r>
                </w:p>
              </w:tc>
              <w:tc>
                <w:tcPr>
                  <w:tcW w:w="344" w:type="pct"/>
                  <w:vAlign w:val="center"/>
                </w:tcPr>
                <w:p>
                  <w:pPr>
                    <w:snapToGrid w:val="0"/>
                    <w:spacing w:line="26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柴油</w:t>
                  </w:r>
                </w:p>
              </w:tc>
              <w:tc>
                <w:tcPr>
                  <w:tcW w:w="622" w:type="pct"/>
                  <w:vAlign w:val="center"/>
                </w:tcPr>
                <w:p>
                  <w:pPr>
                    <w:snapToGrid w:val="0"/>
                    <w:spacing w:line="26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复杂烃类</w:t>
                  </w:r>
                  <w:r>
                    <w:rPr>
                      <w:rFonts w:hint="eastAsia" w:cs="Times New Roman"/>
                      <w:color w:val="auto"/>
                      <w:sz w:val="21"/>
                      <w:szCs w:val="21"/>
                      <w:lang w:eastAsia="zh-CN"/>
                    </w:rPr>
                    <w:t>（</w:t>
                  </w:r>
                  <w:r>
                    <w:rPr>
                      <w:rFonts w:hint="default" w:ascii="Times New Roman" w:hAnsi="Times New Roman" w:cs="Times New Roman"/>
                      <w:color w:val="auto"/>
                      <w:sz w:val="21"/>
                      <w:szCs w:val="21"/>
                    </w:rPr>
                    <w:t>碳原子数约10～22</w:t>
                  </w:r>
                  <w:r>
                    <w:rPr>
                      <w:rFonts w:hint="eastAsia" w:cs="Times New Roman"/>
                      <w:color w:val="auto"/>
                      <w:sz w:val="21"/>
                      <w:szCs w:val="21"/>
                      <w:lang w:eastAsia="zh-CN"/>
                    </w:rPr>
                    <w:t>）</w:t>
                  </w:r>
                  <w:r>
                    <w:rPr>
                      <w:rFonts w:hint="default" w:ascii="Times New Roman" w:hAnsi="Times New Roman" w:cs="Times New Roman"/>
                      <w:color w:val="auto"/>
                      <w:sz w:val="21"/>
                      <w:szCs w:val="21"/>
                    </w:rPr>
                    <w:t>混合物</w:t>
                  </w:r>
                </w:p>
              </w:tc>
              <w:tc>
                <w:tcPr>
                  <w:tcW w:w="1837" w:type="pct"/>
                  <w:vAlign w:val="center"/>
                </w:tcPr>
                <w:p>
                  <w:pPr>
                    <w:snapToGrid w:val="0"/>
                    <w:spacing w:line="260" w:lineRule="exac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柴油的毒性类似于煤油，但由于添加剂</w:t>
                  </w:r>
                  <w:r>
                    <w:rPr>
                      <w:rFonts w:hint="eastAsia" w:cs="Times New Roman"/>
                      <w:color w:val="auto"/>
                      <w:sz w:val="21"/>
                      <w:szCs w:val="21"/>
                      <w:lang w:eastAsia="zh-CN"/>
                    </w:rPr>
                    <w:t>（</w:t>
                  </w:r>
                  <w:r>
                    <w:rPr>
                      <w:rFonts w:hint="default" w:ascii="Times New Roman" w:hAnsi="Times New Roman" w:cs="Times New Roman"/>
                      <w:color w:val="auto"/>
                      <w:sz w:val="21"/>
                      <w:szCs w:val="21"/>
                    </w:rPr>
                    <w:t>如硫化酯类</w:t>
                  </w:r>
                  <w:r>
                    <w:rPr>
                      <w:rFonts w:hint="eastAsia" w:cs="Times New Roman"/>
                      <w:color w:val="auto"/>
                      <w:sz w:val="21"/>
                      <w:szCs w:val="21"/>
                      <w:lang w:eastAsia="zh-CN"/>
                    </w:rPr>
                    <w:t>）</w:t>
                  </w:r>
                  <w:r>
                    <w:rPr>
                      <w:rFonts w:hint="default" w:ascii="Times New Roman" w:hAnsi="Times New Roman" w:cs="Times New Roman"/>
                      <w:color w:val="auto"/>
                      <w:sz w:val="21"/>
                      <w:szCs w:val="21"/>
                    </w:rPr>
                    <w:t>的影响，毒性比煤油略大，主要有麻醉和刺激作用。柴油的雾滴吸入后可致吸入性肺炎，皮肤接触柴油可致接触性皮炎</w:t>
                  </w:r>
                </w:p>
              </w:tc>
              <w:tc>
                <w:tcPr>
                  <w:tcW w:w="1178" w:type="pct"/>
                  <w:vAlign w:val="center"/>
                </w:tcPr>
                <w:p>
                  <w:pPr>
                    <w:snapToGrid w:val="0"/>
                    <w:spacing w:line="26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热值：3.3×10</w:t>
                  </w:r>
                  <w:r>
                    <w:rPr>
                      <w:rFonts w:hint="default" w:ascii="Times New Roman" w:hAnsi="Times New Roman" w:cs="Times New Roman"/>
                      <w:color w:val="auto"/>
                      <w:sz w:val="21"/>
                      <w:szCs w:val="21"/>
                      <w:vertAlign w:val="superscript"/>
                    </w:rPr>
                    <w:t>4</w:t>
                  </w:r>
                  <w:r>
                    <w:rPr>
                      <w:rFonts w:hint="default" w:ascii="Times New Roman" w:hAnsi="Times New Roman" w:cs="Times New Roman"/>
                      <w:color w:val="auto"/>
                      <w:sz w:val="21"/>
                      <w:szCs w:val="21"/>
                    </w:rPr>
                    <w:t>kJ/L；沸点范围：180～370℃和350～410℃；两类闪点：38℃</w:t>
                  </w:r>
                </w:p>
              </w:tc>
              <w:tc>
                <w:tcPr>
                  <w:tcW w:w="398" w:type="pct"/>
                  <w:vAlign w:val="center"/>
                </w:tcPr>
                <w:p>
                  <w:pPr>
                    <w:snapToGrid w:val="0"/>
                    <w:spacing w:line="26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高闪点液体</w:t>
                  </w:r>
                </w:p>
              </w:tc>
              <w:tc>
                <w:tcPr>
                  <w:tcW w:w="452" w:type="pct"/>
                  <w:vAlign w:val="center"/>
                </w:tcPr>
                <w:p>
                  <w:pPr>
                    <w:snapToGrid w:val="0"/>
                    <w:spacing w:line="26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大气、地下水、土壤</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66" w:type="pct"/>
                  <w:vAlign w:val="center"/>
                </w:tcPr>
                <w:p>
                  <w:pPr>
                    <w:snapToGrid w:val="0"/>
                    <w:spacing w:line="26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w:t>
                  </w:r>
                </w:p>
              </w:tc>
              <w:tc>
                <w:tcPr>
                  <w:tcW w:w="344" w:type="pct"/>
                  <w:vAlign w:val="center"/>
                </w:tcPr>
                <w:p>
                  <w:pPr>
                    <w:snapToGrid w:val="0"/>
                    <w:spacing w:line="26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硫化氢</w:t>
                  </w:r>
                </w:p>
              </w:tc>
              <w:tc>
                <w:tcPr>
                  <w:tcW w:w="622" w:type="pct"/>
                  <w:vAlign w:val="center"/>
                </w:tcPr>
                <w:p>
                  <w:pPr>
                    <w:snapToGrid w:val="0"/>
                    <w:spacing w:line="26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硫化氢</w:t>
                  </w:r>
                </w:p>
                <w:p>
                  <w:pPr>
                    <w:snapToGrid w:val="0"/>
                    <w:spacing w:line="26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气体</w:t>
                  </w:r>
                </w:p>
              </w:tc>
              <w:tc>
                <w:tcPr>
                  <w:tcW w:w="1837" w:type="pct"/>
                  <w:vAlign w:val="center"/>
                </w:tcPr>
                <w:p>
                  <w:pPr>
                    <w:snapToGrid w:val="0"/>
                    <w:spacing w:line="26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本品是强烈的神经毒物，对粘膜有强烈刺激作用。</w:t>
                  </w:r>
                </w:p>
                <w:p>
                  <w:pPr>
                    <w:snapToGrid w:val="0"/>
                    <w:spacing w:line="260" w:lineRule="exac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急性中毒：短期内吸入高浓度硫化氢后出现流泪、眼痛、眼内异物感、畏光、视物模糊、流涕、喉部灼热感、咳、胸闷、头痛、头晕、乏力、意识模糊等。部分患者可有心肌损害。重者可出现脑水肿、肺水肿。极高浓度</w:t>
                  </w:r>
                  <w:r>
                    <w:rPr>
                      <w:rFonts w:hint="eastAsia" w:cs="Times New Roman"/>
                      <w:color w:val="auto"/>
                      <w:sz w:val="21"/>
                      <w:szCs w:val="21"/>
                      <w:lang w:eastAsia="zh-CN"/>
                    </w:rPr>
                    <w:t>（</w:t>
                  </w:r>
                  <w:r>
                    <w:rPr>
                      <w:rFonts w:hint="default" w:ascii="Times New Roman" w:hAnsi="Times New Roman" w:cs="Times New Roman"/>
                      <w:color w:val="auto"/>
                      <w:sz w:val="21"/>
                      <w:szCs w:val="21"/>
                    </w:rPr>
                    <w:t>1000mg/m</w:t>
                  </w:r>
                  <w:r>
                    <w:rPr>
                      <w:rFonts w:hint="default" w:ascii="Times New Roman" w:hAnsi="Times New Roman" w:cs="Times New Roman"/>
                      <w:color w:val="auto"/>
                      <w:sz w:val="21"/>
                      <w:szCs w:val="21"/>
                      <w:vertAlign w:val="superscript"/>
                    </w:rPr>
                    <w:t>3</w:t>
                  </w:r>
                  <w:r>
                    <w:rPr>
                      <w:rFonts w:hint="default" w:ascii="Times New Roman" w:hAnsi="Times New Roman" w:cs="Times New Roman"/>
                      <w:color w:val="auto"/>
                      <w:sz w:val="21"/>
                      <w:szCs w:val="21"/>
                    </w:rPr>
                    <w:t>以上</w:t>
                  </w:r>
                  <w:r>
                    <w:rPr>
                      <w:rFonts w:hint="eastAsia" w:cs="Times New Roman"/>
                      <w:color w:val="auto"/>
                      <w:sz w:val="21"/>
                      <w:szCs w:val="21"/>
                      <w:lang w:eastAsia="zh-CN"/>
                    </w:rPr>
                    <w:t>）</w:t>
                  </w:r>
                  <w:r>
                    <w:rPr>
                      <w:rFonts w:hint="default" w:ascii="Times New Roman" w:hAnsi="Times New Roman" w:cs="Times New Roman"/>
                      <w:color w:val="auto"/>
                      <w:sz w:val="21"/>
                      <w:szCs w:val="21"/>
                    </w:rPr>
                    <w:t>时可在数秒钟内突然昏迷，呼吸和心跳骤停，发生闪电型死亡。高浓度接触眼结膜发生水肿和角膜溃疡。长期低浓度接触，引起神经衰弱综合征和植物神经功能</w:t>
                  </w:r>
                  <w:r>
                    <w:rPr>
                      <w:rFonts w:hint="eastAsia" w:cs="Times New Roman"/>
                      <w:color w:val="auto"/>
                      <w:sz w:val="21"/>
                      <w:szCs w:val="21"/>
                      <w:lang w:eastAsia="zh-CN"/>
                    </w:rPr>
                    <w:t>紊乱</w:t>
                  </w:r>
                </w:p>
              </w:tc>
              <w:tc>
                <w:tcPr>
                  <w:tcW w:w="1178" w:type="pct"/>
                  <w:vAlign w:val="center"/>
                </w:tcPr>
                <w:p>
                  <w:pPr>
                    <w:snapToGrid w:val="0"/>
                    <w:spacing w:line="26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易燃，与空气混合能形成爆炸性混合物，遇明火、高热能引起燃烧</w:t>
                  </w:r>
                  <w:r>
                    <w:rPr>
                      <w:rFonts w:hint="default" w:ascii="Times New Roman" w:hAnsi="Times New Roman" w:cs="Times New Roman"/>
                      <w:color w:val="auto"/>
                      <w:sz w:val="21"/>
                      <w:szCs w:val="21"/>
                      <w:lang w:val="en-US" w:eastAsia="zh-CN"/>
                    </w:rPr>
                    <w:t>爆</w:t>
                  </w:r>
                  <w:r>
                    <w:rPr>
                      <w:rFonts w:hint="default" w:ascii="Times New Roman" w:hAnsi="Times New Roman" w:cs="Times New Roman"/>
                      <w:color w:val="auto"/>
                      <w:sz w:val="21"/>
                      <w:szCs w:val="21"/>
                    </w:rPr>
                    <w:t>炸。与浓硝酸、发烟硝酸或</w:t>
                  </w:r>
                  <w:r>
                    <w:rPr>
                      <w:rFonts w:hint="eastAsia" w:cs="Times New Roman"/>
                      <w:color w:val="auto"/>
                      <w:sz w:val="21"/>
                      <w:szCs w:val="21"/>
                      <w:lang w:eastAsia="zh-CN"/>
                    </w:rPr>
                    <w:t>其他</w:t>
                  </w:r>
                  <w:r>
                    <w:rPr>
                      <w:rFonts w:hint="default" w:ascii="Times New Roman" w:hAnsi="Times New Roman" w:cs="Times New Roman"/>
                      <w:color w:val="auto"/>
                      <w:sz w:val="21"/>
                      <w:szCs w:val="21"/>
                    </w:rPr>
                    <w:t>强氧化剂剧烈反应，发生爆炸。气体比空气重，能在较低处扩散到相当远的地方，遇火源会着火回燃。</w:t>
                  </w:r>
                </w:p>
              </w:tc>
              <w:tc>
                <w:tcPr>
                  <w:tcW w:w="398" w:type="pct"/>
                  <w:vAlign w:val="center"/>
                </w:tcPr>
                <w:p>
                  <w:pPr>
                    <w:snapToGrid w:val="0"/>
                    <w:spacing w:line="26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易燃，具强刺激性。</w:t>
                  </w:r>
                </w:p>
              </w:tc>
              <w:tc>
                <w:tcPr>
                  <w:tcW w:w="452" w:type="pct"/>
                  <w:vAlign w:val="center"/>
                </w:tcPr>
                <w:p>
                  <w:pPr>
                    <w:snapToGrid w:val="0"/>
                    <w:spacing w:line="26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大气</w:t>
                  </w:r>
                </w:p>
              </w:tc>
            </w:tr>
          </w:tbl>
          <w:p>
            <w:pPr>
              <w:snapToGrid w:val="0"/>
              <w:spacing w:line="49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②生产设施风险识别</w:t>
            </w:r>
          </w:p>
          <w:p>
            <w:pPr>
              <w:snapToGrid w:val="0"/>
              <w:spacing w:line="49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a.井喷事故风险</w:t>
            </w:r>
          </w:p>
          <w:p>
            <w:pPr>
              <w:snapToGrid w:val="0"/>
              <w:spacing w:line="490" w:lineRule="exact"/>
              <w:ind w:firstLine="480" w:firstLineChars="200"/>
              <w:rPr>
                <w:rFonts w:hint="default" w:ascii="Times New Roman" w:hAnsi="Times New Roman" w:cs="Times New Roman"/>
                <w:color w:val="auto"/>
              </w:rPr>
            </w:pPr>
            <w:r>
              <w:rPr>
                <w:rFonts w:hint="default" w:ascii="Times New Roman" w:hAnsi="Times New Roman" w:cs="Times New Roman"/>
                <w:color w:val="auto"/>
                <w:lang w:bidi="ar"/>
              </w:rPr>
              <w:t>若井底压力小于地层压力，地层流体将进入井筒并推动钻井液外溢。此时如果对地下油、气压力平衡控制不当，不能及时控制溢流，会造成油、气、水或其他混合物迅速喷到地面，即发生井喷。井喷会引发油气泄漏及火灾爆炸，对大气环境、地下水环境、土壤环境及生态环境造成危害，致使人员伤亡、财产损失。</w:t>
            </w:r>
          </w:p>
          <w:p>
            <w:pPr>
              <w:snapToGrid w:val="0"/>
              <w:spacing w:line="49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b.储罐泄漏风险</w:t>
            </w:r>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钻试期井场</w:t>
            </w:r>
            <w:r>
              <w:rPr>
                <w:rFonts w:hint="eastAsia" w:cs="Times New Roman"/>
                <w:color w:val="auto"/>
                <w:lang w:val="en-US" w:eastAsia="zh-CN"/>
              </w:rPr>
              <w:t>油基钻井液储罐、</w:t>
            </w:r>
            <w:r>
              <w:rPr>
                <w:rFonts w:hint="default" w:ascii="Times New Roman" w:hAnsi="Times New Roman" w:cs="Times New Roman"/>
                <w:color w:val="auto"/>
              </w:rPr>
              <w:t>柴油储罐、</w:t>
            </w:r>
            <w:r>
              <w:rPr>
                <w:rFonts w:hint="eastAsia" w:cs="Times New Roman"/>
                <w:color w:val="auto"/>
                <w:lang w:val="en-US" w:eastAsia="zh-CN"/>
              </w:rPr>
              <w:t>采出液</w:t>
            </w:r>
            <w:r>
              <w:rPr>
                <w:rFonts w:hint="default" w:ascii="Times New Roman" w:hAnsi="Times New Roman" w:cs="Times New Roman"/>
                <w:color w:val="auto"/>
              </w:rPr>
              <w:t>储罐</w:t>
            </w:r>
            <w:r>
              <w:rPr>
                <w:rFonts w:hint="eastAsia" w:cs="Times New Roman"/>
                <w:color w:val="auto"/>
                <w:lang w:val="en-US" w:eastAsia="zh-CN"/>
              </w:rPr>
              <w:t>和油基钻井岩屑储罐</w:t>
            </w:r>
            <w:r>
              <w:rPr>
                <w:rFonts w:hint="default" w:ascii="Times New Roman" w:hAnsi="Times New Roman" w:cs="Times New Roman"/>
                <w:color w:val="auto"/>
              </w:rPr>
              <w:t>等</w:t>
            </w:r>
            <w:r>
              <w:rPr>
                <w:rFonts w:hint="eastAsia" w:cs="Times New Roman"/>
                <w:color w:val="auto"/>
                <w:lang w:val="en-US" w:eastAsia="zh-CN"/>
              </w:rPr>
              <w:t>涉及环境风险物质</w:t>
            </w:r>
            <w:r>
              <w:rPr>
                <w:rFonts w:hint="default" w:ascii="Times New Roman" w:hAnsi="Times New Roman" w:cs="Times New Roman"/>
                <w:color w:val="auto"/>
              </w:rPr>
              <w:t>，若储罐因质量、操作运行和管理等方面存在缺陷和失误，可能会发生泄漏，对周围地下水、土壤</w:t>
            </w:r>
            <w:r>
              <w:rPr>
                <w:rFonts w:hint="eastAsia" w:cs="Times New Roman"/>
                <w:color w:val="auto"/>
                <w:lang w:val="en-US" w:eastAsia="zh-CN"/>
              </w:rPr>
              <w:t>造成污染，如发生火灾事故，还会对</w:t>
            </w:r>
            <w:r>
              <w:rPr>
                <w:rFonts w:hint="default" w:ascii="Times New Roman" w:hAnsi="Times New Roman" w:cs="Times New Roman"/>
                <w:color w:val="auto"/>
              </w:rPr>
              <w:t>大气环境造成污染。</w:t>
            </w:r>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c.井漏事故风险</w:t>
            </w:r>
          </w:p>
          <w:p>
            <w:pPr>
              <w:snapToGrid w:val="0"/>
              <w:spacing w:line="480" w:lineRule="exact"/>
              <w:ind w:firstLine="456" w:firstLineChars="200"/>
              <w:rPr>
                <w:rFonts w:hint="default" w:ascii="Times New Roman" w:hAnsi="Times New Roman" w:cs="Times New Roman"/>
                <w:color w:val="auto"/>
                <w:spacing w:val="-6"/>
                <w:sz w:val="24"/>
              </w:rPr>
            </w:pPr>
            <w:r>
              <w:rPr>
                <w:rFonts w:hint="default" w:ascii="Times New Roman" w:hAnsi="Times New Roman" w:cs="Times New Roman"/>
                <w:color w:val="auto"/>
                <w:spacing w:val="-6"/>
                <w:sz w:val="24"/>
              </w:rPr>
              <w:t>钻井施工表层套管下入深度不够或固井质量不好可能引发井漏事故。</w:t>
            </w:r>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d.采出液、废水及柴油拉运过程中的环境风险</w:t>
            </w:r>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试油期废水及其他采出液由罐车拉运至石西集中处理站处理，运输过程中若因车辆本身的设计、制造、操作、管理等各环节存在缺陷，则可能发生泄漏事故的风险。事故发生时罐车内液体溢出，对周围环境造成直接污染，泄漏的油气如遇到明火还可能发生火灾、爆炸事故。</w:t>
            </w:r>
          </w:p>
          <w:p>
            <w:pPr>
              <w:pStyle w:val="10"/>
              <w:bidi w:val="0"/>
              <w:rPr>
                <w:rFonts w:hint="default"/>
                <w:color w:val="auto"/>
              </w:rPr>
            </w:pPr>
            <w:r>
              <w:rPr>
                <w:rFonts w:hint="default"/>
                <w:color w:val="auto"/>
              </w:rPr>
              <w:t>③环境风险类型</w:t>
            </w:r>
          </w:p>
          <w:p>
            <w:pPr>
              <w:pStyle w:val="10"/>
              <w:bidi w:val="0"/>
              <w:rPr>
                <w:rFonts w:hint="default"/>
                <w:color w:val="auto"/>
              </w:rPr>
            </w:pPr>
            <w:r>
              <w:rPr>
                <w:rFonts w:hint="default"/>
                <w:color w:val="auto"/>
              </w:rPr>
              <w:t>环境风险类型主要为泄漏、火灾、爆炸等引发的伴生/次生污染物排放。</w:t>
            </w:r>
          </w:p>
          <w:p>
            <w:pPr>
              <w:pStyle w:val="10"/>
              <w:bidi w:val="0"/>
              <w:rPr>
                <w:rFonts w:hint="default"/>
                <w:color w:val="auto"/>
              </w:rPr>
            </w:pPr>
            <w:r>
              <w:rPr>
                <w:rFonts w:hint="default"/>
                <w:color w:val="auto"/>
              </w:rPr>
              <w:t>④危险物质向环境转移的可能途径和影响方式</w:t>
            </w:r>
          </w:p>
          <w:p>
            <w:pPr>
              <w:pStyle w:val="25"/>
              <w:widowControl w:val="0"/>
              <w:adjustRightInd w:val="0"/>
              <w:snapToGrid w:val="0"/>
              <w:spacing w:before="0" w:beforeAutospacing="0" w:after="0" w:afterAutospacing="0" w:line="500" w:lineRule="exact"/>
              <w:ind w:firstLine="480" w:firstLineChars="200"/>
              <w:jc w:val="both"/>
              <w:rPr>
                <w:rFonts w:hint="default" w:ascii="Times New Roman" w:hAnsi="Times New Roman" w:cs="Times New Roman"/>
                <w:bCs/>
                <w:color w:val="auto"/>
              </w:rPr>
            </w:pPr>
            <w:r>
              <w:rPr>
                <w:rFonts w:hint="default" w:ascii="Times New Roman" w:hAnsi="Times New Roman" w:cs="Times New Roman"/>
                <w:bCs/>
                <w:color w:val="auto"/>
                <w:kern w:val="2"/>
                <w:lang w:bidi="ar"/>
              </w:rPr>
              <w:t>柴油储罐、</w:t>
            </w:r>
            <w:r>
              <w:rPr>
                <w:rFonts w:hint="eastAsia" w:ascii="Times New Roman" w:hAnsi="Times New Roman" w:cs="Times New Roman"/>
                <w:bCs/>
                <w:color w:val="auto"/>
                <w:kern w:val="2"/>
                <w:lang w:val="en-US" w:eastAsia="zh-CN" w:bidi="ar"/>
              </w:rPr>
              <w:t>油基钻井液储罐</w:t>
            </w:r>
            <w:r>
              <w:rPr>
                <w:rFonts w:hint="default" w:ascii="Times New Roman" w:hAnsi="Times New Roman" w:cs="Times New Roman"/>
                <w:bCs/>
                <w:color w:val="auto"/>
                <w:kern w:val="2"/>
                <w:lang w:bidi="ar"/>
              </w:rPr>
              <w:t>、采出液储罐、废水储罐、废润滑油桶等发生破损</w:t>
            </w:r>
            <w:r>
              <w:rPr>
                <w:rFonts w:hint="eastAsia" w:ascii="Times New Roman" w:hAnsi="Times New Roman" w:cs="Times New Roman"/>
                <w:bCs/>
                <w:color w:val="auto"/>
                <w:kern w:val="2"/>
                <w:lang w:eastAsia="zh-CN" w:bidi="ar"/>
              </w:rPr>
              <w:t>、</w:t>
            </w:r>
            <w:r>
              <w:rPr>
                <w:rFonts w:hint="default" w:ascii="Times New Roman" w:hAnsi="Times New Roman" w:cs="Times New Roman"/>
                <w:bCs/>
                <w:color w:val="auto"/>
                <w:kern w:val="2"/>
                <w:lang w:bidi="ar"/>
              </w:rPr>
              <w:t>井喷事故</w:t>
            </w:r>
            <w:r>
              <w:rPr>
                <w:rFonts w:hint="eastAsia" w:ascii="Times New Roman" w:hAnsi="Times New Roman" w:cs="Times New Roman"/>
                <w:bCs/>
                <w:color w:val="auto"/>
                <w:kern w:val="2"/>
                <w:lang w:val="en-US" w:eastAsia="zh-CN" w:bidi="ar"/>
              </w:rPr>
              <w:t>等突发环境事件</w:t>
            </w:r>
            <w:r>
              <w:rPr>
                <w:rFonts w:hint="default" w:ascii="Times New Roman" w:hAnsi="Times New Roman" w:cs="Times New Roman"/>
                <w:bCs/>
                <w:color w:val="auto"/>
                <w:kern w:val="2"/>
                <w:lang w:bidi="ar"/>
              </w:rPr>
              <w:t>造成</w:t>
            </w:r>
            <w:r>
              <w:rPr>
                <w:rFonts w:hint="eastAsia" w:ascii="Times New Roman" w:hAnsi="Times New Roman" w:cs="Times New Roman"/>
                <w:bCs/>
                <w:color w:val="auto"/>
                <w:kern w:val="2"/>
                <w:lang w:val="en-US" w:eastAsia="zh-CN" w:bidi="ar"/>
              </w:rPr>
              <w:t>含油物质</w:t>
            </w:r>
            <w:r>
              <w:rPr>
                <w:rFonts w:hint="default" w:ascii="Times New Roman" w:hAnsi="Times New Roman" w:cs="Times New Roman"/>
                <w:bCs/>
                <w:color w:val="auto"/>
                <w:kern w:val="2"/>
                <w:lang w:bidi="ar"/>
              </w:rPr>
              <w:t>泄漏污染土壤，</w:t>
            </w:r>
            <w:r>
              <w:rPr>
                <w:rFonts w:hint="eastAsia" w:ascii="Times New Roman" w:hAnsi="Times New Roman" w:cs="Times New Roman"/>
                <w:bCs/>
                <w:color w:val="auto"/>
                <w:kern w:val="2"/>
                <w:lang w:val="en-US" w:eastAsia="zh-CN" w:bidi="ar"/>
              </w:rPr>
              <w:t>并</w:t>
            </w:r>
            <w:r>
              <w:rPr>
                <w:rFonts w:hint="default" w:ascii="Times New Roman" w:hAnsi="Times New Roman" w:cs="Times New Roman"/>
                <w:bCs/>
                <w:color w:val="auto"/>
                <w:kern w:val="2"/>
                <w:lang w:bidi="ar"/>
              </w:rPr>
              <w:t>可能通过包气带渗漏进入地下含水层污染地下水；泄漏的柴油/采出液/废润滑油若遇明火，发生火灾、爆炸，污染大气环境。</w:t>
            </w:r>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w:t>
            </w:r>
            <w:r>
              <w:rPr>
                <w:rFonts w:hint="default" w:ascii="Times New Roman" w:hAnsi="Times New Roman" w:cs="Times New Roman"/>
                <w:color w:val="auto"/>
                <w:lang w:val="en-US" w:eastAsia="zh-CN"/>
              </w:rPr>
              <w:t>4</w:t>
            </w:r>
            <w:r>
              <w:rPr>
                <w:rFonts w:hint="default" w:ascii="Times New Roman" w:hAnsi="Times New Roman" w:cs="Times New Roman"/>
                <w:color w:val="auto"/>
              </w:rPr>
              <w:t>）环境风险分析</w:t>
            </w:r>
          </w:p>
          <w:p>
            <w:pPr>
              <w:pStyle w:val="10"/>
              <w:bidi w:val="0"/>
              <w:rPr>
                <w:rFonts w:hint="default"/>
                <w:color w:val="auto"/>
              </w:rPr>
            </w:pPr>
            <w:r>
              <w:rPr>
                <w:rFonts w:hint="default"/>
                <w:color w:val="auto"/>
              </w:rPr>
              <w:t>①井喷事故环境影响分析</w:t>
            </w:r>
          </w:p>
          <w:p>
            <w:pPr>
              <w:pStyle w:val="10"/>
              <w:bidi w:val="0"/>
              <w:rPr>
                <w:rFonts w:hint="default"/>
                <w:color w:val="auto"/>
              </w:rPr>
            </w:pPr>
            <w:bookmarkStart w:id="100" w:name="_Hlk143201703"/>
            <w:r>
              <w:rPr>
                <w:rFonts w:hint="default"/>
                <w:color w:val="auto"/>
              </w:rPr>
              <w:t>a.井场主要发生的风险事故为钻井时发生井喷事故。井场左右两侧各设置1条放喷管线。钻井过程中钻遇油气层，少量的油气排出，在井口液气分离器分离后，伴生气随着排气管线充分燃烧后放空，分离出的液相，排至</w:t>
            </w:r>
            <w:r>
              <w:rPr>
                <w:rFonts w:hint="eastAsia"/>
                <w:color w:val="auto"/>
                <w:lang w:val="en-US" w:eastAsia="zh-CN"/>
              </w:rPr>
              <w:t>放喷罐中</w:t>
            </w:r>
            <w:r>
              <w:rPr>
                <w:rFonts w:hint="default"/>
                <w:color w:val="auto"/>
              </w:rPr>
              <w:t>。</w:t>
            </w:r>
          </w:p>
          <w:p>
            <w:pPr>
              <w:pStyle w:val="25"/>
              <w:widowControl w:val="0"/>
              <w:adjustRightInd w:val="0"/>
              <w:snapToGrid w:val="0"/>
              <w:spacing w:before="0" w:beforeAutospacing="0" w:after="0" w:afterAutospacing="0" w:line="500" w:lineRule="exact"/>
              <w:ind w:firstLine="480" w:firstLineChars="200"/>
              <w:jc w:val="both"/>
              <w:rPr>
                <w:rFonts w:hint="default" w:ascii="Times New Roman" w:hAnsi="Times New Roman" w:cs="Times New Roman"/>
                <w:color w:val="auto"/>
              </w:rPr>
            </w:pPr>
            <w:r>
              <w:rPr>
                <w:rFonts w:hint="default" w:ascii="Times New Roman" w:hAnsi="Times New Roman" w:cs="Times New Roman"/>
                <w:bCs/>
                <w:color w:val="auto"/>
                <w:kern w:val="2"/>
                <w:lang w:bidi="ar"/>
              </w:rPr>
              <w:t>一旦发生井喷突发事件，立即启动相应的突发事件专项应急预案。一般情况下井喷液体通过放喷管线排放至应急放喷池内，</w:t>
            </w:r>
            <w:r>
              <w:rPr>
                <w:rFonts w:hint="default" w:ascii="Times New Roman" w:hAnsi="Times New Roman" w:cs="Times New Roman"/>
                <w:snapToGrid w:val="0"/>
                <w:color w:val="auto"/>
                <w:kern w:val="2"/>
                <w:lang w:bidi="ar"/>
              </w:rPr>
              <w:t>待事故结束后，</w:t>
            </w:r>
            <w:r>
              <w:rPr>
                <w:rFonts w:hint="default" w:ascii="Times New Roman" w:hAnsi="Times New Roman" w:cs="Times New Roman"/>
                <w:color w:val="auto"/>
                <w:kern w:val="2"/>
                <w:lang w:bidi="ar"/>
              </w:rPr>
              <w:t>对放喷液进行集中收集处理，将泄漏的采出液最大限度地回收，对少量确实无法回收的油以及受污染的土壤形成的落地油，采用铲除油泥层等有效方法，落地油集中收集后不在井场贮存，直接交由具有相应危废处置资质的单位进行接收、转运和处置，以降低残油对生态环境的污染程度；由于钻井井口设置有井控系统，在放喷管线一端设置20m</w:t>
            </w:r>
            <w:r>
              <w:rPr>
                <w:rFonts w:hint="default" w:ascii="Times New Roman" w:hAnsi="Times New Roman" w:cs="Times New Roman"/>
                <w:color w:val="auto"/>
                <w:kern w:val="2"/>
                <w:vertAlign w:val="superscript"/>
                <w:lang w:bidi="ar"/>
              </w:rPr>
              <w:t>3</w:t>
            </w:r>
            <w:r>
              <w:rPr>
                <w:rFonts w:hint="default" w:ascii="Times New Roman" w:hAnsi="Times New Roman" w:cs="Times New Roman"/>
                <w:color w:val="auto"/>
                <w:kern w:val="2"/>
                <w:lang w:bidi="ar"/>
              </w:rPr>
              <w:t>的应急放喷池可满足需求。应急放喷池仅在事故状态下开挖，井场旁有一辆挖机随时待命，一旦发生井喷，挖机可立即开挖放喷池</w:t>
            </w:r>
            <w:r>
              <w:rPr>
                <w:rFonts w:hint="eastAsia" w:ascii="Times New Roman" w:hAnsi="Times New Roman" w:cs="Times New Roman"/>
                <w:color w:val="auto"/>
                <w:kern w:val="2"/>
                <w:lang w:eastAsia="zh-CN" w:bidi="ar"/>
              </w:rPr>
              <w:t>，</w:t>
            </w:r>
            <w:r>
              <w:rPr>
                <w:rFonts w:hint="default" w:ascii="Times New Roman" w:hAnsi="Times New Roman" w:cs="Times New Roman"/>
                <w:color w:val="auto"/>
                <w:kern w:val="2"/>
                <w:lang w:bidi="ar"/>
              </w:rPr>
              <w:t>快速开挖至规定尺寸后，</w:t>
            </w:r>
            <w:r>
              <w:rPr>
                <w:rFonts w:hint="default" w:ascii="Times New Roman" w:hAnsi="Times New Roman" w:cs="Times New Roman"/>
                <w:color w:val="auto"/>
                <w:kern w:val="2"/>
                <w:lang w:val="en-US" w:eastAsia="zh-CN" w:bidi="ar"/>
              </w:rPr>
              <w:t>进行</w:t>
            </w:r>
            <w:r>
              <w:rPr>
                <w:rFonts w:hint="default" w:ascii="Times New Roman" w:hAnsi="Times New Roman" w:cs="Times New Roman"/>
                <w:color w:val="auto"/>
                <w:kern w:val="2"/>
                <w:lang w:bidi="ar"/>
              </w:rPr>
              <w:t>人工防渗层</w:t>
            </w:r>
            <w:r>
              <w:rPr>
                <w:rFonts w:hint="default" w:ascii="Times New Roman" w:hAnsi="Times New Roman" w:cs="Times New Roman"/>
                <w:color w:val="auto"/>
                <w:kern w:val="2"/>
                <w:lang w:val="en-US" w:eastAsia="zh-CN" w:bidi="ar"/>
              </w:rPr>
              <w:t>的铺设</w:t>
            </w:r>
            <w:r>
              <w:rPr>
                <w:rFonts w:hint="default" w:ascii="Times New Roman" w:hAnsi="Times New Roman" w:cs="Times New Roman"/>
                <w:color w:val="auto"/>
                <w:kern w:val="2"/>
                <w:lang w:bidi="ar"/>
              </w:rPr>
              <w:t>，防渗材料</w:t>
            </w:r>
            <w:r>
              <w:rPr>
                <w:rFonts w:hint="default" w:ascii="Times New Roman" w:hAnsi="Times New Roman" w:cs="Times New Roman"/>
                <w:color w:val="auto"/>
                <w:kern w:val="2"/>
                <w:lang w:val="en-US" w:eastAsia="zh-CN" w:bidi="ar"/>
              </w:rPr>
              <w:t>防渗性能应符合相关要求</w:t>
            </w:r>
            <w:r>
              <w:rPr>
                <w:rFonts w:hint="default" w:ascii="Times New Roman" w:hAnsi="Times New Roman" w:cs="Times New Roman"/>
                <w:color w:val="auto"/>
                <w:kern w:val="2"/>
                <w:lang w:bidi="ar"/>
              </w:rPr>
              <w:t>。</w:t>
            </w:r>
          </w:p>
          <w:p>
            <w:pPr>
              <w:pStyle w:val="10"/>
              <w:bidi w:val="0"/>
              <w:rPr>
                <w:rFonts w:hint="default"/>
                <w:color w:val="auto"/>
              </w:rPr>
            </w:pPr>
            <w:r>
              <w:rPr>
                <w:rFonts w:hint="default"/>
                <w:color w:val="auto"/>
              </w:rPr>
              <w:t>井喷事故不可控的情况，可能导致大量的油气喷出井口、散落于井场周围，据类比资料显示，井喷范围内土壤表层可见有蜡状的原油喷散物，井喷的影响范围一般为以井眼为圆心、半径200m的区域，由于项目区</w:t>
            </w:r>
            <w:r>
              <w:rPr>
                <w:rFonts w:hint="eastAsia"/>
                <w:color w:val="auto"/>
                <w:lang w:eastAsia="zh-CN"/>
              </w:rPr>
              <w:t>人烟稀少</w:t>
            </w:r>
            <w:r>
              <w:rPr>
                <w:rFonts w:hint="default"/>
                <w:color w:val="auto"/>
              </w:rPr>
              <w:t>，所以井喷对人员的伤害有限，对土壤环境、大气环境和地下水可能产生影响。</w:t>
            </w:r>
          </w:p>
          <w:bookmarkEnd w:id="100"/>
          <w:p>
            <w:pPr>
              <w:pStyle w:val="10"/>
              <w:bidi w:val="0"/>
              <w:rPr>
                <w:rFonts w:hint="default"/>
                <w:color w:val="auto"/>
              </w:rPr>
            </w:pPr>
            <w:r>
              <w:rPr>
                <w:rFonts w:hint="default"/>
                <w:color w:val="auto"/>
              </w:rPr>
              <w:t>b.对大气环境影响分析</w:t>
            </w:r>
          </w:p>
          <w:p>
            <w:pPr>
              <w:pStyle w:val="10"/>
              <w:bidi w:val="0"/>
              <w:rPr>
                <w:rFonts w:hint="default"/>
                <w:color w:val="auto"/>
              </w:rPr>
            </w:pPr>
            <w:r>
              <w:rPr>
                <w:rFonts w:hint="default"/>
                <w:color w:val="auto"/>
              </w:rPr>
              <w:t>发生井喷失控事故后，伴生气和原油挥发产生的非甲烷总烃进入环境空气，可能会对周围环境空气产生影响。若遇明火可能发生火灾、爆炸，随之产生的伴生、次生污染物会对环境空气产生一定的影响，并对环境和施工人员产生一定危害，主要危害包括：遇明火可能发生火灾或爆炸事故，造成人员伤亡；烃类气体以及火灾或爆炸事故次生污染物CO对人体的毒性危害，对周围的大气环境及施工人员造成影响。伴生气中甲烷进入大气，</w:t>
            </w:r>
            <w:r>
              <w:rPr>
                <w:rFonts w:hint="eastAsia"/>
                <w:color w:val="auto"/>
                <w:lang w:val="en-US" w:eastAsia="zh-CN"/>
              </w:rPr>
              <w:t>环境中浓度过高</w:t>
            </w:r>
            <w:r>
              <w:rPr>
                <w:rFonts w:hint="default"/>
                <w:color w:val="auto"/>
              </w:rPr>
              <w:t>可能会</w:t>
            </w:r>
            <w:r>
              <w:rPr>
                <w:rFonts w:hint="eastAsia"/>
                <w:color w:val="auto"/>
                <w:lang w:val="en-US" w:eastAsia="zh-CN"/>
              </w:rPr>
              <w:t>对人体</w:t>
            </w:r>
            <w:r>
              <w:rPr>
                <w:rFonts w:hint="default"/>
                <w:color w:val="auto"/>
              </w:rPr>
              <w:t>造成</w:t>
            </w:r>
            <w:r>
              <w:rPr>
                <w:rFonts w:hint="eastAsia"/>
                <w:color w:val="auto"/>
                <w:lang w:val="en-US" w:eastAsia="zh-CN"/>
              </w:rPr>
              <w:t>不适症状，若不及时脱离，可致窒息死亡</w:t>
            </w:r>
            <w:r>
              <w:rPr>
                <w:rFonts w:hint="default"/>
                <w:color w:val="auto"/>
              </w:rPr>
              <w:t>。</w:t>
            </w:r>
          </w:p>
          <w:p>
            <w:pPr>
              <w:pStyle w:val="10"/>
              <w:bidi w:val="0"/>
              <w:rPr>
                <w:rFonts w:hint="default"/>
                <w:color w:val="auto"/>
              </w:rPr>
            </w:pPr>
            <w:r>
              <w:rPr>
                <w:rFonts w:hint="default"/>
                <w:color w:val="auto"/>
              </w:rPr>
              <w:t>由于地域空旷，扩散条件较好，发生事故后，及时采取相应的措施，不会对周围环境空气产生明显影响。</w:t>
            </w:r>
          </w:p>
          <w:p>
            <w:pPr>
              <w:pStyle w:val="10"/>
              <w:bidi w:val="0"/>
              <w:rPr>
                <w:rFonts w:hint="default"/>
                <w:color w:val="auto"/>
              </w:rPr>
            </w:pPr>
            <w:r>
              <w:rPr>
                <w:rFonts w:hint="default"/>
                <w:color w:val="auto"/>
              </w:rPr>
              <w:t>c.对地下水环境影响分析</w:t>
            </w:r>
          </w:p>
          <w:p>
            <w:pPr>
              <w:pStyle w:val="25"/>
              <w:widowControl w:val="0"/>
              <w:adjustRightInd w:val="0"/>
              <w:snapToGrid w:val="0"/>
              <w:spacing w:before="0" w:beforeAutospacing="0" w:after="0" w:afterAutospacing="0" w:line="500" w:lineRule="exact"/>
              <w:ind w:firstLine="480" w:firstLineChars="200"/>
              <w:jc w:val="both"/>
              <w:rPr>
                <w:rFonts w:hint="default" w:ascii="Times New Roman" w:hAnsi="Times New Roman" w:cs="Times New Roman"/>
                <w:bCs/>
                <w:color w:val="auto"/>
              </w:rPr>
            </w:pPr>
            <w:r>
              <w:rPr>
                <w:rFonts w:hint="default" w:ascii="Times New Roman" w:hAnsi="Times New Roman" w:cs="Times New Roman"/>
                <w:bCs/>
                <w:color w:val="auto"/>
                <w:kern w:val="2"/>
                <w:lang w:bidi="ar"/>
              </w:rPr>
              <w:t>根据类比调查，从事故井区土壤剖面分析，井喷失控事故后石油类污染物主要被拦截在包气带土壤剖面1m以内，同时因为气候干旱少雨，不存在大量降水的淋滤作用，因此对地下水体的影响概率不大。及时清理井喷事故中落地原油，对可回收采出液进行回收，落地油收集后交由具有相应危险废物处置资质的单位进行回收处置，及时采取上述有效措施治理污染后，井喷不会造成地下水污染。</w:t>
            </w:r>
          </w:p>
          <w:p>
            <w:pPr>
              <w:pStyle w:val="10"/>
              <w:bidi w:val="0"/>
              <w:rPr>
                <w:rFonts w:hint="default"/>
                <w:color w:val="auto"/>
              </w:rPr>
            </w:pPr>
            <w:r>
              <w:rPr>
                <w:rFonts w:hint="default"/>
                <w:color w:val="auto"/>
              </w:rPr>
              <w:t>d.对土壤环境影响分析</w:t>
            </w:r>
          </w:p>
          <w:p>
            <w:pPr>
              <w:pStyle w:val="10"/>
              <w:bidi w:val="0"/>
              <w:rPr>
                <w:rFonts w:hint="default"/>
                <w:color w:val="auto"/>
              </w:rPr>
            </w:pPr>
            <w:r>
              <w:rPr>
                <w:rFonts w:hint="default"/>
                <w:color w:val="auto"/>
              </w:rPr>
              <w:t>井喷失控事故使井喷影响范围内的土壤理化性质发生变化，破坏土壤结构，影响土壤的通透性、降低土壤质量，油污黏在植被根系上，形成一层黏膜，阻碍植被根系养分和水分的吸收，引起根系腐烂，影响野生植被的生长。事故发生后及时清理现场，对可回收原油进行回收，不能回收的原油和受污染的土壤形成落地油，落地油集中收集后由有相应危险废物处置资质的单位进行回收处置，将井喷事故对周边植被的影响降至最低。</w:t>
            </w:r>
          </w:p>
          <w:p>
            <w:pPr>
              <w:pStyle w:val="10"/>
              <w:bidi w:val="0"/>
              <w:rPr>
                <w:rFonts w:hint="default"/>
                <w:color w:val="auto"/>
              </w:rPr>
            </w:pPr>
            <w:r>
              <w:rPr>
                <w:rFonts w:hint="default"/>
                <w:color w:val="auto"/>
              </w:rPr>
              <w:t>e.对植被影响分析</w:t>
            </w:r>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井喷事故发生后，喷出的油类物质可能对周围自然植被产生一定的影响，井场周围半径</w:t>
            </w:r>
            <w:r>
              <w:rPr>
                <w:rFonts w:hint="eastAsia" w:cs="Times New Roman"/>
                <w:color w:val="auto"/>
                <w:lang w:val="en-US" w:eastAsia="zh-CN"/>
              </w:rPr>
              <w:t>20</w:t>
            </w:r>
            <w:r>
              <w:rPr>
                <w:rFonts w:hint="default" w:ascii="Times New Roman" w:hAnsi="Times New Roman" w:cs="Times New Roman"/>
                <w:color w:val="auto"/>
              </w:rPr>
              <w:t>0m范围内的自然植被将由于石油类污染而使其呼吸受阻，不能进行正常光合作用而死亡；原油进入土壤后与土壤结合，渗入土壤孔隙，使土壤透气性和呼吸作用减弱，改变了土壤质地和结构，影响到土壤的生物功能，进而造成生长其上的植物和土壤动物的死亡，这种影响会导致污染地段多年无法生长植物或长势减弱，甚至使这一区域变为裸地。由于这一影响使土壤结构受石油类污染而发生变化，因此，被污染区域的植被不易恢复。若井喷时发生火灾，结果将使燃烧范围内的植被全部死亡。必须采取严格有效的风险防范措施，防止、降低井喷事故风险发生。事故发生后应及时清理现场，</w:t>
            </w:r>
            <w:bookmarkStart w:id="101" w:name="_Hlk175608479"/>
            <w:r>
              <w:rPr>
                <w:rFonts w:hint="default" w:ascii="Times New Roman" w:hAnsi="Times New Roman" w:cs="Times New Roman"/>
                <w:color w:val="auto"/>
              </w:rPr>
              <w:t>及时清理沾染油污的植被，对落地油进行回收，受污染的土壤集中收集后由有相应危废处置资质的单位进行回收处置，将井喷事故对周边植被的影响降至最低。</w:t>
            </w:r>
          </w:p>
          <w:bookmarkEnd w:id="101"/>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②储罐泄漏环境影响分析</w:t>
            </w:r>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a.对大气环境影响分析</w:t>
            </w:r>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储罐发生泄漏后，</w:t>
            </w:r>
            <w:r>
              <w:rPr>
                <w:rFonts w:hint="eastAsia" w:cs="Times New Roman"/>
                <w:color w:val="auto"/>
                <w:lang w:val="en-US" w:eastAsia="zh-CN"/>
              </w:rPr>
              <w:t>烃类物质</w:t>
            </w:r>
            <w:r>
              <w:rPr>
                <w:rFonts w:hint="default" w:ascii="Times New Roman" w:hAnsi="Times New Roman" w:cs="Times New Roman"/>
                <w:color w:val="auto"/>
              </w:rPr>
              <w:t>挥发产生的非甲烷总烃进入环境空气可能会对周围环境空气产生影响。若遇明火，可发生火灾、爆炸，且火灾、爆炸产生的伴生、次生污染物也会对环境空气产生一定影响。由于泄漏量少，加上项目区地域空旷、扩散条件较好，发生事故后若能及时采取相应措施，则不会对周围环境空气产生明显影响。</w:t>
            </w:r>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b.对土壤环境影响分析</w:t>
            </w:r>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泄漏的油类物质可使土壤透气性下降、土壤理化性状发生变化，使土壤透气性和呼吸作用减弱，从而影响土壤中的微生物生存，造成土壤盐碱化、破坏土壤结构；除此之外，还会导致土壤中石油类污染物增加，造成土地肥力下降、改变土壤的理化性质，从而影响土壤的正常结构和功能。</w:t>
            </w:r>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施工期间柴油储罐、采出液储罐、废水储罐、</w:t>
            </w:r>
            <w:r>
              <w:rPr>
                <w:rFonts w:hint="eastAsia" w:ascii="宋体" w:hAnsi="宋体" w:cs="宋体"/>
                <w:color w:val="auto"/>
              </w:rPr>
              <w:t>油基钻井液</w:t>
            </w:r>
            <w:r>
              <w:rPr>
                <w:rFonts w:hint="eastAsia" w:ascii="宋体" w:hAnsi="宋体" w:cs="宋体"/>
                <w:color w:val="auto"/>
                <w:lang w:val="en-US" w:eastAsia="zh-CN"/>
              </w:rPr>
              <w:t>储罐、</w:t>
            </w:r>
            <w:r>
              <w:rPr>
                <w:rFonts w:hint="eastAsia" w:cs="Times New Roman"/>
                <w:color w:val="auto"/>
                <w:lang w:val="en-US" w:eastAsia="zh-CN"/>
              </w:rPr>
              <w:t>油基</w:t>
            </w:r>
            <w:r>
              <w:rPr>
                <w:rFonts w:hint="default" w:ascii="Times New Roman" w:hAnsi="Times New Roman" w:cs="Times New Roman"/>
                <w:color w:val="auto"/>
              </w:rPr>
              <w:t>岩屑储罐等区域均铺设防渗膜</w:t>
            </w:r>
            <w:r>
              <w:rPr>
                <w:rFonts w:hint="eastAsia" w:cs="Times New Roman"/>
                <w:color w:val="auto"/>
                <w:lang w:eastAsia="zh-CN"/>
              </w:rPr>
              <w:t>，</w:t>
            </w:r>
            <w:r>
              <w:rPr>
                <w:rFonts w:hint="eastAsia" w:cs="Times New Roman"/>
                <w:color w:val="auto"/>
                <w:lang w:val="en-US" w:eastAsia="zh-CN"/>
              </w:rPr>
              <w:t>设置围堰</w:t>
            </w:r>
            <w:r>
              <w:rPr>
                <w:rFonts w:hint="default" w:ascii="Times New Roman" w:hAnsi="Times New Roman" w:cs="Times New Roman"/>
                <w:color w:val="auto"/>
              </w:rPr>
              <w:t>，储罐发生泄漏后应及时回收</w:t>
            </w:r>
            <w:r>
              <w:rPr>
                <w:rFonts w:hint="eastAsia" w:cs="Times New Roman"/>
                <w:color w:val="auto"/>
                <w:lang w:val="en-US" w:eastAsia="zh-CN"/>
              </w:rPr>
              <w:t>油类物质</w:t>
            </w:r>
            <w:r>
              <w:rPr>
                <w:rFonts w:hint="default" w:ascii="Times New Roman" w:hAnsi="Times New Roman" w:cs="Times New Roman"/>
                <w:color w:val="auto"/>
              </w:rPr>
              <w:t>、</w:t>
            </w:r>
            <w:r>
              <w:rPr>
                <w:rFonts w:hint="eastAsia" w:cs="Times New Roman"/>
                <w:color w:val="auto"/>
                <w:lang w:val="en-US" w:eastAsia="zh-CN"/>
              </w:rPr>
              <w:t>对于</w:t>
            </w:r>
            <w:r>
              <w:rPr>
                <w:rFonts w:hint="default" w:ascii="Times New Roman" w:hAnsi="Times New Roman" w:cs="Times New Roman"/>
                <w:color w:val="auto"/>
              </w:rPr>
              <w:t>受污染的土壤委托有相应危废处置资质的单位进行</w:t>
            </w:r>
            <w:r>
              <w:rPr>
                <w:rFonts w:hint="eastAsia" w:cs="Times New Roman"/>
                <w:color w:val="auto"/>
                <w:lang w:val="en-US" w:eastAsia="zh-CN"/>
              </w:rPr>
              <w:t>处理、</w:t>
            </w:r>
            <w:r>
              <w:rPr>
                <w:rFonts w:hint="default" w:ascii="Times New Roman" w:hAnsi="Times New Roman" w:cs="Times New Roman"/>
                <w:color w:val="auto"/>
              </w:rPr>
              <w:t>处置。在采取上述措施后不会对周围土壤环境产生明显影响。</w:t>
            </w:r>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c.对植被的影响</w:t>
            </w:r>
          </w:p>
          <w:p>
            <w:pPr>
              <w:snapToGrid w:val="0"/>
              <w:spacing w:line="480" w:lineRule="exact"/>
              <w:ind w:firstLine="456" w:firstLineChars="200"/>
              <w:rPr>
                <w:rFonts w:hint="default" w:ascii="Times New Roman" w:hAnsi="Times New Roman" w:cs="Times New Roman"/>
                <w:color w:val="auto"/>
                <w:spacing w:val="-6"/>
                <w:sz w:val="24"/>
              </w:rPr>
            </w:pPr>
            <w:r>
              <w:rPr>
                <w:rFonts w:hint="default" w:ascii="Times New Roman" w:hAnsi="Times New Roman" w:cs="Times New Roman"/>
                <w:color w:val="auto"/>
                <w:spacing w:val="-6"/>
                <w:sz w:val="24"/>
              </w:rPr>
              <w:t>油类物质泄漏对植被的影响主要分为三种途径，一是泄漏物直接</w:t>
            </w:r>
            <w:r>
              <w:rPr>
                <w:rFonts w:hint="eastAsia" w:cs="Times New Roman"/>
                <w:color w:val="auto"/>
                <w:spacing w:val="-6"/>
                <w:sz w:val="24"/>
                <w:lang w:eastAsia="zh-CN"/>
              </w:rPr>
              <w:t>黏附</w:t>
            </w:r>
            <w:r>
              <w:rPr>
                <w:rFonts w:hint="default" w:ascii="Times New Roman" w:hAnsi="Times New Roman" w:cs="Times New Roman"/>
                <w:color w:val="auto"/>
                <w:spacing w:val="-6"/>
                <w:sz w:val="24"/>
              </w:rPr>
              <w:t>于植物体阻断植物的光合作用，使植物枯萎、死亡；二是污染土壤，造成土壤理化性状发生变化，从而间接影响植物生长，严重时会导致植物死亡；三是泄漏物质中的轻</w:t>
            </w:r>
            <w:r>
              <w:rPr>
                <w:rFonts w:hint="eastAsia" w:cs="Times New Roman"/>
                <w:color w:val="auto"/>
                <w:spacing w:val="-6"/>
                <w:sz w:val="24"/>
                <w:lang w:eastAsia="zh-CN"/>
              </w:rPr>
              <w:t>组分</w:t>
            </w:r>
            <w:r>
              <w:rPr>
                <w:rFonts w:hint="default" w:ascii="Times New Roman" w:hAnsi="Times New Roman" w:cs="Times New Roman"/>
                <w:color w:val="auto"/>
                <w:spacing w:val="-6"/>
                <w:sz w:val="24"/>
              </w:rPr>
              <w:t>挥发，在对空气环境产生影响的同时，也会对周围植物产生影响。因此，对储罐区采取防渗措施、对受污染区域及时处理后，油类物料泄漏不会对周围植被产生明显影响。</w:t>
            </w:r>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d.对地下水环境的影响</w:t>
            </w:r>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柴油储罐、</w:t>
            </w:r>
            <w:r>
              <w:rPr>
                <w:rFonts w:hint="eastAsia" w:cs="Times New Roman"/>
                <w:color w:val="auto"/>
                <w:lang w:val="en-US" w:eastAsia="zh-CN"/>
              </w:rPr>
              <w:t>油基钻井液储罐、油基岩屑储罐、</w:t>
            </w:r>
            <w:r>
              <w:rPr>
                <w:rFonts w:hint="default" w:ascii="Times New Roman" w:hAnsi="Times New Roman" w:cs="Times New Roman"/>
                <w:color w:val="auto"/>
              </w:rPr>
              <w:t>采出液储罐、</w:t>
            </w:r>
            <w:r>
              <w:rPr>
                <w:rFonts w:hint="eastAsia" w:cs="Times New Roman"/>
                <w:color w:val="auto"/>
                <w:lang w:val="en-US" w:eastAsia="zh-CN"/>
              </w:rPr>
              <w:t>试油</w:t>
            </w:r>
            <w:r>
              <w:rPr>
                <w:rFonts w:hint="default" w:ascii="Times New Roman" w:hAnsi="Times New Roman" w:cs="Times New Roman"/>
                <w:color w:val="auto"/>
              </w:rPr>
              <w:t>废水储罐泄漏的油品下渗可能会污染地下水。井场各类储罐堆放场地为地上设施，储罐均为钢制储罐且底部铺设防渗膜，发生泄漏的概率极小；一旦发生泄漏可在较短时间内发现并采取堵漏措施，出现长期连续性泄漏的可能性很低。因此，施工期发生渗漏污染地下水的风险事故可能性很小。</w:t>
            </w:r>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③井漏环境影响分析</w:t>
            </w:r>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highlight w:val="none"/>
              </w:rPr>
              <w:t>井漏事故对地下水的污染途径主要是钻井液漏失于地下水含水层中，造成地下含水层水质污染。</w:t>
            </w:r>
            <w:r>
              <w:rPr>
                <w:rFonts w:hint="default" w:ascii="Times New Roman" w:hAnsi="Times New Roman" w:cs="Times New Roman"/>
                <w:color w:val="auto"/>
              </w:rPr>
              <w:t>钻井液漏失于地下含水层其径流型污染的范围不大，主要发生在局部且持续时间较短；</w:t>
            </w:r>
            <w:r>
              <w:rPr>
                <w:rFonts w:hint="eastAsia" w:cs="Times New Roman"/>
                <w:color w:val="auto"/>
                <w:lang w:val="en-US" w:eastAsia="zh-CN"/>
              </w:rPr>
              <w:t>项目一开钻井过程</w:t>
            </w:r>
            <w:r>
              <w:rPr>
                <w:rFonts w:hint="default" w:ascii="Times New Roman" w:hAnsi="Times New Roman" w:cs="Times New Roman"/>
                <w:color w:val="auto"/>
              </w:rPr>
              <w:t>使用清洁无害的水基钻井液，</w:t>
            </w:r>
            <w:r>
              <w:rPr>
                <w:rFonts w:hint="eastAsia" w:cs="Times New Roman"/>
                <w:color w:val="auto"/>
                <w:lang w:val="en-US" w:eastAsia="zh-CN"/>
              </w:rPr>
              <w:t>钻井深度952m，下入套管深度950m，固井水泥浆返至地面，隔绝了井孔和地层之间的联系；二开、三开使用油基钻井液，均下入套管，固井水泥返至地面，加强了井孔和地层的隔离效果；通过</w:t>
            </w:r>
            <w:r>
              <w:rPr>
                <w:rFonts w:hint="default" w:ascii="Times New Roman" w:hAnsi="Times New Roman" w:cs="Times New Roman"/>
                <w:color w:val="auto"/>
              </w:rPr>
              <w:t>严格要求套管下入深度、确保固井质量等措施，可有效控制钻井液在含水层中的漏失。因此，井漏事故对地下水环境的影响在可接受范围内。</w:t>
            </w:r>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④采出液、废水及柴油拉运过程中泄漏风险分析</w:t>
            </w:r>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罐车拉运过程中的风险主要为罐车上的储罐发生泄漏、火灾、爆炸等事故对周围环境的影响，其影响与储罐泄漏影响相同，具体影响见储罐泄漏影响分析。</w:t>
            </w:r>
          </w:p>
          <w:p>
            <w:pPr>
              <w:pStyle w:val="54"/>
              <w:numPr>
                <w:ilvl w:val="0"/>
                <w:numId w:val="9"/>
              </w:numPr>
              <w:bidi w:val="0"/>
              <w:ind w:left="9" w:leftChars="0" w:firstLineChars="0"/>
              <w:rPr>
                <w:rFonts w:hint="default"/>
                <w:color w:val="auto"/>
              </w:rPr>
            </w:pPr>
            <w:r>
              <w:rPr>
                <w:rFonts w:hint="eastAsia"/>
                <w:color w:val="auto"/>
                <w:lang w:eastAsia="zh-CN"/>
              </w:rPr>
              <w:t>其他</w:t>
            </w:r>
            <w:r>
              <w:rPr>
                <w:rFonts w:hint="default"/>
                <w:color w:val="auto"/>
              </w:rPr>
              <w:t>产出物说明</w:t>
            </w:r>
          </w:p>
          <w:p>
            <w:pPr>
              <w:pStyle w:val="10"/>
              <w:bidi w:val="0"/>
              <w:rPr>
                <w:rFonts w:hint="default" w:eastAsia="宋体"/>
                <w:color w:val="auto"/>
                <w:lang w:val="en-US" w:eastAsia="zh-CN"/>
              </w:rPr>
            </w:pPr>
            <w:bookmarkStart w:id="102" w:name="OLE_LINK66"/>
            <w:r>
              <w:rPr>
                <w:rFonts w:hint="default"/>
                <w:color w:val="auto"/>
              </w:rPr>
              <w:t>试油过程产生的采出物包括伴生气和采出液，其中伴生气在井场通过排气管线充分燃烧后放空；采出液暂存于地面储罐后拉运至石西集中处理站</w:t>
            </w:r>
            <w:r>
              <w:rPr>
                <w:rFonts w:hint="eastAsia"/>
                <w:color w:val="auto"/>
                <w:lang w:val="en-US" w:eastAsia="zh-CN"/>
              </w:rPr>
              <w:t>分离</w:t>
            </w:r>
            <w:r>
              <w:rPr>
                <w:rFonts w:hint="default"/>
                <w:color w:val="auto"/>
              </w:rPr>
              <w:t>处理</w:t>
            </w:r>
            <w:r>
              <w:rPr>
                <w:rFonts w:hint="eastAsia"/>
                <w:color w:val="auto"/>
                <w:lang w:val="en-US" w:eastAsia="zh-CN"/>
              </w:rPr>
              <w:t>后生成原油和采出水。采出水进采出水处理系统进一步处理。</w:t>
            </w:r>
          </w:p>
          <w:bookmarkEnd w:id="102"/>
          <w:p>
            <w:pPr>
              <w:pStyle w:val="3"/>
              <w:rPr>
                <w:rFonts w:hint="default" w:ascii="Times New Roman" w:hAnsi="Times New Roman" w:cs="Times New Roman"/>
                <w:color w:val="auto"/>
              </w:rPr>
            </w:pPr>
          </w:p>
          <w:p>
            <w:pPr>
              <w:pStyle w:val="35"/>
              <w:bidi w:val="0"/>
              <w:rPr>
                <w:rFonts w:hint="default"/>
              </w:rPr>
            </w:pPr>
          </w:p>
          <w:p>
            <w:pPr>
              <w:pStyle w:val="35"/>
              <w:bidi w:val="0"/>
              <w:rPr>
                <w:rFonts w:hint="default"/>
              </w:rPr>
            </w:pPr>
          </w:p>
          <w:p>
            <w:pPr>
              <w:rPr>
                <w:rFonts w:hint="default"/>
                <w:color w:val="auto"/>
              </w:rPr>
            </w:pPr>
          </w:p>
          <w:p>
            <w:pPr>
              <w:rPr>
                <w:rFonts w:hint="default"/>
                <w:color w:val="auto"/>
              </w:rPr>
            </w:pPr>
          </w:p>
          <w:p>
            <w:pPr>
              <w:pStyle w:val="2"/>
              <w:spacing w:line="240" w:lineRule="auto"/>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64"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Times New Roman" w:hAnsi="Times New Roman" w:cs="Times New Roman"/>
                <w:color w:val="auto"/>
              </w:rPr>
            </w:pPr>
            <w:r>
              <w:rPr>
                <w:rFonts w:hint="default" w:ascii="Times New Roman" w:hAnsi="Times New Roman" w:cs="Times New Roman"/>
                <w:color w:val="auto"/>
              </w:rPr>
              <w:t>运营期生态环境影响分析</w:t>
            </w:r>
          </w:p>
        </w:tc>
        <w:tc>
          <w:tcPr>
            <w:tcW w:w="7932" w:type="dxa"/>
            <w:vAlign w:val="center"/>
          </w:tcPr>
          <w:p>
            <w:pPr>
              <w:snapToGrid w:val="0"/>
              <w:spacing w:line="50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本项目无运营期，钻试活动结束后无废气、废水、噪声和</w:t>
            </w:r>
            <w:r>
              <w:rPr>
                <w:rFonts w:hint="eastAsia" w:cs="Times New Roman"/>
                <w:color w:val="auto"/>
                <w:lang w:val="en-US" w:eastAsia="zh-CN"/>
              </w:rPr>
              <w:t>固体废物</w:t>
            </w:r>
            <w:r>
              <w:rPr>
                <w:rFonts w:hint="default" w:ascii="Times New Roman" w:hAnsi="Times New Roman" w:cs="Times New Roman"/>
                <w:color w:val="auto"/>
              </w:rPr>
              <w:t>产生，</w:t>
            </w:r>
            <w:r>
              <w:rPr>
                <w:rFonts w:hint="eastAsia" w:cs="Times New Roman"/>
                <w:color w:val="auto"/>
                <w:lang w:val="en-US" w:eastAsia="zh-CN"/>
              </w:rPr>
              <w:t>通过场地清理、平整，具备了植被和土壤恢复条件，通过实施土地复垦，植被</w:t>
            </w:r>
            <w:r>
              <w:rPr>
                <w:rFonts w:hint="default" w:ascii="Times New Roman" w:hAnsi="Times New Roman" w:cs="Times New Roman"/>
                <w:color w:val="auto"/>
              </w:rPr>
              <w:t>可逐步恢复。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64" w:type="dxa"/>
            <w:vAlign w:val="center"/>
          </w:tcPr>
          <w:p>
            <w:pPr>
              <w:snapToGrid w:val="0"/>
              <w:spacing w:line="480" w:lineRule="exact"/>
              <w:jc w:val="center"/>
              <w:rPr>
                <w:rFonts w:hint="default" w:ascii="Times New Roman" w:hAnsi="Times New Roman" w:cs="Times New Roman"/>
                <w:color w:val="auto"/>
              </w:rPr>
            </w:pPr>
            <w:r>
              <w:rPr>
                <w:rFonts w:hint="default" w:ascii="Times New Roman" w:hAnsi="Times New Roman" w:cs="Times New Roman"/>
                <w:color w:val="auto"/>
              </w:rPr>
              <w:t>选址选线环境合理性分析</w:t>
            </w:r>
          </w:p>
        </w:tc>
        <w:tc>
          <w:tcPr>
            <w:tcW w:w="7932" w:type="dxa"/>
            <w:vAlign w:val="center"/>
          </w:tcPr>
          <w:p>
            <w:pPr>
              <w:pStyle w:val="10"/>
              <w:bidi w:val="0"/>
              <w:rPr>
                <w:rFonts w:hint="default"/>
                <w:color w:val="auto"/>
              </w:rPr>
            </w:pPr>
            <w:r>
              <w:rPr>
                <w:rFonts w:hint="eastAsia" w:ascii="宋体" w:hAnsi="宋体" w:eastAsia="宋体" w:cs="宋体"/>
                <w:b w:val="0"/>
                <w:bCs w:val="0"/>
                <w:snapToGrid w:val="0"/>
                <w:color w:val="auto"/>
                <w:spacing w:val="6"/>
                <w:kern w:val="0"/>
                <w:szCs w:val="24"/>
                <w:highlight w:val="none"/>
                <w:lang w:val="en-US" w:eastAsia="zh-CN"/>
              </w:rPr>
              <w:t>项目选址选线</w:t>
            </w:r>
            <w:r>
              <w:rPr>
                <w:rFonts w:ascii="宋体" w:hAnsi="宋体" w:eastAsia="宋体" w:cs="宋体"/>
                <w:b w:val="0"/>
                <w:bCs w:val="0"/>
                <w:snapToGrid w:val="0"/>
                <w:color w:val="auto"/>
                <w:spacing w:val="6"/>
                <w:kern w:val="0"/>
                <w:szCs w:val="24"/>
                <w:highlight w:val="none"/>
                <w:lang w:eastAsia="en-US"/>
              </w:rPr>
              <w:t>已尽可能避开野生植物生长密集地带，</w:t>
            </w:r>
            <w:r>
              <w:rPr>
                <w:rFonts w:hint="eastAsia" w:ascii="宋体" w:hAnsi="宋体" w:eastAsia="宋体" w:cs="宋体"/>
                <w:b w:val="0"/>
                <w:bCs w:val="0"/>
                <w:snapToGrid w:val="0"/>
                <w:color w:val="auto"/>
                <w:spacing w:val="6"/>
                <w:kern w:val="0"/>
                <w:szCs w:val="24"/>
                <w:highlight w:val="none"/>
                <w:lang w:val="en-US" w:eastAsia="zh-CN"/>
              </w:rPr>
              <w:t>道路</w:t>
            </w:r>
            <w:r>
              <w:rPr>
                <w:rFonts w:ascii="宋体" w:hAnsi="宋体" w:eastAsia="宋体" w:cs="宋体"/>
                <w:b w:val="0"/>
                <w:bCs w:val="0"/>
                <w:snapToGrid w:val="0"/>
                <w:color w:val="auto"/>
                <w:spacing w:val="5"/>
                <w:kern w:val="0"/>
                <w:szCs w:val="24"/>
                <w:highlight w:val="none"/>
                <w:lang w:eastAsia="en-US"/>
              </w:rPr>
              <w:t>取直、</w:t>
            </w:r>
            <w:r>
              <w:rPr>
                <w:rFonts w:ascii="宋体" w:hAnsi="宋体" w:eastAsia="宋体" w:cs="宋体"/>
                <w:b w:val="0"/>
                <w:bCs w:val="0"/>
                <w:snapToGrid w:val="0"/>
                <w:color w:val="auto"/>
                <w:spacing w:val="8"/>
                <w:kern w:val="0"/>
                <w:szCs w:val="24"/>
                <w:highlight w:val="none"/>
                <w:lang w:eastAsia="en-US"/>
              </w:rPr>
              <w:t>减少占地；井口距离75m范围内无高压线及其它永久性设施，100m范围内无民</w:t>
            </w:r>
            <w:r>
              <w:rPr>
                <w:rFonts w:ascii="宋体" w:hAnsi="宋体" w:eastAsia="宋体" w:cs="宋体"/>
                <w:b w:val="0"/>
                <w:bCs w:val="0"/>
                <w:snapToGrid w:val="0"/>
                <w:color w:val="auto"/>
                <w:spacing w:val="1"/>
                <w:kern w:val="0"/>
                <w:szCs w:val="24"/>
                <w:highlight w:val="none"/>
                <w:lang w:eastAsia="en-US"/>
              </w:rPr>
              <w:t>宅，200m范围内无铁路、高速公路，500m范围内无学校、医院和大型油库等人口</w:t>
            </w:r>
            <w:r>
              <w:rPr>
                <w:rFonts w:ascii="宋体" w:hAnsi="宋体" w:eastAsia="宋体" w:cs="宋体"/>
                <w:b w:val="0"/>
                <w:bCs w:val="0"/>
                <w:snapToGrid w:val="0"/>
                <w:color w:val="auto"/>
                <w:spacing w:val="-1"/>
                <w:kern w:val="0"/>
                <w:szCs w:val="24"/>
                <w:highlight w:val="none"/>
                <w:lang w:eastAsia="en-US"/>
              </w:rPr>
              <w:t>密集型、高</w:t>
            </w:r>
            <w:r>
              <w:rPr>
                <w:color w:val="auto"/>
                <w:lang w:eastAsia="en-US"/>
              </w:rPr>
              <w:t>危性场所。</w:t>
            </w:r>
            <w:r>
              <w:rPr>
                <w:rFonts w:hint="default"/>
                <w:color w:val="auto"/>
              </w:rPr>
              <w:t>周围无地下矿产采掘坑道、矿井通道。其选址符合《钻前工程及井场布置技术要求》</w:t>
            </w:r>
            <w:r>
              <w:rPr>
                <w:rFonts w:hint="eastAsia"/>
                <w:color w:val="auto"/>
                <w:lang w:eastAsia="zh-CN"/>
              </w:rPr>
              <w:t>（</w:t>
            </w:r>
            <w:r>
              <w:rPr>
                <w:rFonts w:hint="default"/>
                <w:color w:val="auto"/>
              </w:rPr>
              <w:t>SY/T5466-2013</w:t>
            </w:r>
            <w:r>
              <w:rPr>
                <w:rFonts w:hint="eastAsia"/>
                <w:color w:val="auto"/>
                <w:lang w:eastAsia="zh-CN"/>
              </w:rPr>
              <w:t>）</w:t>
            </w:r>
            <w:r>
              <w:rPr>
                <w:rFonts w:hint="default"/>
                <w:color w:val="auto"/>
              </w:rPr>
              <w:t>的要求。</w:t>
            </w:r>
          </w:p>
          <w:p>
            <w:pPr>
              <w:pStyle w:val="10"/>
              <w:bidi w:val="0"/>
              <w:rPr>
                <w:rFonts w:hint="default"/>
                <w:color w:val="auto"/>
              </w:rPr>
            </w:pPr>
            <w:r>
              <w:rPr>
                <w:rFonts w:hint="default"/>
                <w:color w:val="auto"/>
                <w:lang w:val="en-US" w:eastAsia="zh-CN"/>
              </w:rPr>
              <w:t>本项目</w:t>
            </w:r>
            <w:r>
              <w:rPr>
                <w:rFonts w:hint="default"/>
                <w:color w:val="auto"/>
              </w:rPr>
              <w:t>周边无自然保护区、风景名胜区、饮用水水源保护区等特殊敏感区域和重要生态敏感区域，且无以居住、医疗卫生、文化教育、科研、行政办公等为主要功能的区域，无重大环境制约因素。</w:t>
            </w:r>
          </w:p>
          <w:p>
            <w:pPr>
              <w:pStyle w:val="10"/>
              <w:bidi w:val="0"/>
              <w:rPr>
                <w:rFonts w:hint="default"/>
                <w:color w:val="auto"/>
              </w:rPr>
            </w:pPr>
            <w:r>
              <w:rPr>
                <w:rFonts w:hint="default"/>
                <w:color w:val="auto"/>
              </w:rPr>
              <w:t>井场和生活营地选址、</w:t>
            </w:r>
            <w:r>
              <w:rPr>
                <w:rFonts w:hint="eastAsia"/>
                <w:color w:val="auto"/>
                <w:lang w:eastAsia="zh-CN"/>
              </w:rPr>
              <w:t>探临道路</w:t>
            </w:r>
            <w:r>
              <w:rPr>
                <w:rFonts w:hint="default"/>
                <w:color w:val="auto"/>
              </w:rPr>
              <w:t>选线</w:t>
            </w:r>
            <w:r>
              <w:rPr>
                <w:rFonts w:hint="eastAsia"/>
                <w:color w:val="auto"/>
                <w:lang w:val="en-US" w:eastAsia="zh-CN"/>
              </w:rPr>
              <w:t>利用原莫24井勘探临时用地，</w:t>
            </w:r>
            <w:r>
              <w:rPr>
                <w:rFonts w:hint="default"/>
                <w:color w:val="auto"/>
              </w:rPr>
              <w:t>避开野生植物生长密集地带，</w:t>
            </w:r>
            <w:r>
              <w:rPr>
                <w:rFonts w:hint="eastAsia"/>
                <w:color w:val="auto"/>
                <w:lang w:eastAsia="zh-CN"/>
              </w:rPr>
              <w:t>探临道路</w:t>
            </w:r>
            <w:r>
              <w:rPr>
                <w:rFonts w:hint="eastAsia"/>
                <w:color w:val="auto"/>
                <w:lang w:val="en-US" w:eastAsia="zh-CN"/>
              </w:rPr>
              <w:t>线路</w:t>
            </w:r>
            <w:r>
              <w:rPr>
                <w:rFonts w:hint="default"/>
                <w:color w:val="auto"/>
              </w:rPr>
              <w:t>取直</w:t>
            </w:r>
            <w:r>
              <w:rPr>
                <w:rFonts w:hint="eastAsia"/>
                <w:color w:val="auto"/>
                <w:lang w:eastAsia="zh-CN"/>
              </w:rPr>
              <w:t>，</w:t>
            </w:r>
            <w:r>
              <w:rPr>
                <w:rFonts w:hint="eastAsia"/>
                <w:color w:val="auto"/>
                <w:lang w:val="en-US" w:eastAsia="zh-CN"/>
              </w:rPr>
              <w:t>可</w:t>
            </w:r>
            <w:r>
              <w:rPr>
                <w:rFonts w:hint="default"/>
                <w:color w:val="auto"/>
              </w:rPr>
              <w:t>减少占地</w:t>
            </w:r>
            <w:r>
              <w:rPr>
                <w:rFonts w:hint="eastAsia"/>
                <w:color w:val="auto"/>
                <w:lang w:val="en-US" w:eastAsia="zh-CN"/>
              </w:rPr>
              <w:t>面积和</w:t>
            </w:r>
            <w:r>
              <w:rPr>
                <w:rFonts w:hint="default"/>
                <w:color w:val="auto"/>
              </w:rPr>
              <w:t>对植被的影响。项目</w:t>
            </w:r>
            <w:r>
              <w:rPr>
                <w:rFonts w:hint="eastAsia"/>
                <w:color w:val="auto"/>
                <w:lang w:val="en-US" w:eastAsia="zh-CN"/>
              </w:rPr>
              <w:t>用地距离现状道路较近，受人类活动影响，</w:t>
            </w:r>
            <w:r>
              <w:rPr>
                <w:rFonts w:hint="default"/>
                <w:color w:val="auto"/>
              </w:rPr>
              <w:t>野生动物数量较少</w:t>
            </w:r>
            <w:r>
              <w:rPr>
                <w:rFonts w:hint="eastAsia"/>
                <w:color w:val="auto"/>
                <w:lang w:eastAsia="zh-CN"/>
              </w:rPr>
              <w:t>。</w:t>
            </w:r>
            <w:r>
              <w:rPr>
                <w:rFonts w:hint="default"/>
                <w:color w:val="auto"/>
              </w:rPr>
              <w:t>建设单位应按相关要求及时办理征地</w:t>
            </w:r>
            <w:r>
              <w:rPr>
                <w:rFonts w:hint="eastAsia"/>
                <w:color w:val="auto"/>
                <w:lang w:val="en-US" w:eastAsia="zh-CN"/>
              </w:rPr>
              <w:t>手续及植被补偿手续</w:t>
            </w:r>
            <w:r>
              <w:rPr>
                <w:rFonts w:hint="default"/>
                <w:color w:val="auto"/>
              </w:rPr>
              <w:t>；本次评价针对施工期间产生的“三废”、噪声及生态影响均提出了相应的治理或减缓措施，不会对项目所在区域环境质量产生较大影响。</w:t>
            </w:r>
          </w:p>
          <w:p>
            <w:pPr>
              <w:pStyle w:val="10"/>
              <w:bidi w:val="0"/>
              <w:rPr>
                <w:rFonts w:hint="default"/>
                <w:color w:val="auto"/>
              </w:rPr>
            </w:pPr>
            <w:r>
              <w:rPr>
                <w:rFonts w:hint="default"/>
                <w:color w:val="auto"/>
              </w:rPr>
              <w:t>综上所述，</w:t>
            </w:r>
            <w:r>
              <w:rPr>
                <w:rFonts w:hint="default"/>
                <w:color w:val="auto"/>
                <w:lang w:val="en-US" w:eastAsia="zh-CN"/>
              </w:rPr>
              <w:t>本</w:t>
            </w:r>
            <w:r>
              <w:rPr>
                <w:rFonts w:hint="default"/>
                <w:color w:val="auto"/>
              </w:rPr>
              <w:t>项目选址选线合理。</w:t>
            </w:r>
          </w:p>
          <w:p>
            <w:pPr>
              <w:pStyle w:val="10"/>
              <w:bidi w:val="0"/>
              <w:rPr>
                <w:rFonts w:hint="default"/>
                <w:color w:val="auto"/>
              </w:rPr>
            </w:pPr>
          </w:p>
          <w:p>
            <w:pPr>
              <w:pStyle w:val="10"/>
              <w:bidi w:val="0"/>
              <w:rPr>
                <w:rFonts w:hint="default"/>
                <w:color w:val="auto"/>
              </w:rPr>
            </w:pPr>
          </w:p>
          <w:p>
            <w:pPr>
              <w:pStyle w:val="10"/>
              <w:bidi w:val="0"/>
              <w:rPr>
                <w:rFonts w:hint="default"/>
                <w:color w:val="auto"/>
              </w:rPr>
            </w:pPr>
          </w:p>
          <w:p>
            <w:pPr>
              <w:pStyle w:val="10"/>
              <w:bidi w:val="0"/>
              <w:rPr>
                <w:rFonts w:hint="default"/>
                <w:color w:val="auto"/>
              </w:rPr>
            </w:pPr>
          </w:p>
          <w:p>
            <w:pPr>
              <w:pStyle w:val="10"/>
              <w:bidi w:val="0"/>
              <w:rPr>
                <w:rFonts w:hint="default"/>
                <w:color w:val="auto"/>
              </w:rPr>
            </w:pPr>
          </w:p>
          <w:p>
            <w:pPr>
              <w:pStyle w:val="10"/>
              <w:bidi w:val="0"/>
              <w:rPr>
                <w:rFonts w:hint="default"/>
                <w:color w:val="auto"/>
              </w:rPr>
            </w:pPr>
          </w:p>
          <w:p>
            <w:pPr>
              <w:pStyle w:val="10"/>
              <w:bidi w:val="0"/>
              <w:rPr>
                <w:rFonts w:hint="default"/>
                <w:color w:val="auto"/>
              </w:rPr>
            </w:pPr>
          </w:p>
          <w:p>
            <w:pPr>
              <w:pStyle w:val="10"/>
              <w:bidi w:val="0"/>
              <w:rPr>
                <w:rFonts w:hint="default"/>
                <w:color w:val="auto"/>
              </w:rPr>
            </w:pPr>
          </w:p>
          <w:p>
            <w:pPr>
              <w:pStyle w:val="10"/>
              <w:bidi w:val="0"/>
              <w:rPr>
                <w:rFonts w:hint="default"/>
                <w:color w:val="auto"/>
              </w:rPr>
            </w:pPr>
          </w:p>
          <w:p>
            <w:pPr>
              <w:pStyle w:val="10"/>
              <w:bidi w:val="0"/>
              <w:rPr>
                <w:rFonts w:hint="default"/>
                <w:color w:val="auto"/>
              </w:rPr>
            </w:pPr>
          </w:p>
          <w:p>
            <w:pPr>
              <w:rPr>
                <w:rFonts w:hint="default" w:ascii="Times New Roman" w:hAnsi="Times New Roman" w:cs="Times New Roman"/>
                <w:color w:val="auto"/>
              </w:rPr>
            </w:pPr>
          </w:p>
        </w:tc>
      </w:tr>
    </w:tbl>
    <w:p>
      <w:pPr>
        <w:pStyle w:val="3"/>
        <w:rPr>
          <w:rFonts w:hint="default" w:ascii="Times New Roman" w:hAnsi="Times New Roman" w:cs="Times New Roman"/>
          <w:color w:val="000000" w:themeColor="text1"/>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3"/>
        <w:rPr>
          <w:rFonts w:hint="default" w:ascii="Times New Roman" w:hAnsi="Times New Roman" w:eastAsia="黑体" w:cs="Times New Roman"/>
          <w:b w:val="0"/>
          <w:bCs/>
          <w:color w:val="000000" w:themeColor="text1"/>
          <w:sz w:val="30"/>
          <w:szCs w:val="30"/>
          <w14:textFill>
            <w14:solidFill>
              <w14:schemeClr w14:val="tx1"/>
            </w14:solidFill>
          </w14:textFill>
        </w:rPr>
      </w:pPr>
      <w:bookmarkStart w:id="103" w:name="_Toc22671"/>
      <w:bookmarkStart w:id="104" w:name="_Hlk136794953"/>
      <w:r>
        <w:rPr>
          <w:rFonts w:hint="default" w:ascii="Times New Roman" w:hAnsi="Times New Roman" w:eastAsia="黑体" w:cs="Times New Roman"/>
          <w:b w:val="0"/>
          <w:bCs/>
          <w:color w:val="000000" w:themeColor="text1"/>
          <w:sz w:val="30"/>
          <w:szCs w:val="30"/>
          <w14:textFill>
            <w14:solidFill>
              <w14:schemeClr w14:val="tx1"/>
            </w14:solidFill>
          </w14:textFill>
        </w:rPr>
        <w:t>五、主要生态环境保护措施</w:t>
      </w:r>
      <w:bookmarkEnd w:id="103"/>
    </w:p>
    <w:bookmarkEnd w:id="104"/>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436"/>
        <w:gridCol w:w="79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trPr>
        <w:tc>
          <w:tcPr>
            <w:tcW w:w="261" w:type="pct"/>
            <w:vAlign w:val="center"/>
          </w:tcPr>
          <w:p>
            <w:pPr>
              <w:adjustRightInd w:val="0"/>
              <w:snapToGrid w:val="0"/>
              <w:spacing w:line="500" w:lineRule="exact"/>
              <w:jc w:val="center"/>
              <w:rPr>
                <w:rFonts w:hint="default" w:ascii="Times New Roman" w:hAnsi="Times New Roman" w:cs="Times New Roman"/>
                <w:color w:val="auto"/>
              </w:rPr>
            </w:pPr>
            <w:r>
              <w:rPr>
                <w:rFonts w:hint="default" w:ascii="Times New Roman" w:hAnsi="Times New Roman" w:cs="Times New Roman"/>
                <w:bCs/>
                <w:color w:val="auto"/>
              </w:rPr>
              <w:t>施工期生态环境保护措施</w:t>
            </w:r>
          </w:p>
        </w:tc>
        <w:tc>
          <w:tcPr>
            <w:tcW w:w="5000" w:type="pct"/>
            <w:vAlign w:val="top"/>
          </w:tcPr>
          <w:p>
            <w:pPr>
              <w:pStyle w:val="54"/>
              <w:numPr>
                <w:ilvl w:val="0"/>
                <w:numId w:val="13"/>
              </w:numPr>
              <w:bidi w:val="0"/>
              <w:ind w:left="9" w:leftChars="0" w:firstLineChars="0"/>
              <w:rPr>
                <w:rFonts w:hint="default"/>
                <w:color w:val="auto"/>
              </w:rPr>
            </w:pPr>
            <w:r>
              <w:rPr>
                <w:rFonts w:hint="default"/>
                <w:color w:val="auto"/>
              </w:rPr>
              <w:t>生态环境保护措施</w:t>
            </w:r>
          </w:p>
          <w:p>
            <w:pPr>
              <w:pStyle w:val="10"/>
              <w:bidi w:val="0"/>
              <w:rPr>
                <w:rFonts w:hint="default"/>
                <w:color w:val="auto"/>
              </w:rPr>
            </w:pPr>
            <w:r>
              <w:rPr>
                <w:rFonts w:hint="default"/>
                <w:color w:val="auto"/>
              </w:rPr>
              <w:t>建设单位及施工单位应严格执行本次评价提出的生态环境保护措施，并确保各项保护措施与钻</w:t>
            </w:r>
            <w:r>
              <w:rPr>
                <w:rFonts w:hint="eastAsia"/>
                <w:color w:val="auto"/>
                <w:lang w:val="en-US" w:eastAsia="zh-CN"/>
              </w:rPr>
              <w:t>试</w:t>
            </w:r>
            <w:r>
              <w:rPr>
                <w:rFonts w:hint="eastAsia"/>
                <w:color w:val="auto"/>
                <w:lang w:eastAsia="zh-CN"/>
              </w:rPr>
              <w:t>工程</w:t>
            </w:r>
            <w:r>
              <w:rPr>
                <w:rFonts w:hint="default"/>
                <w:color w:val="auto"/>
              </w:rPr>
              <w:t>同时设计、同时施工、同时使用。</w:t>
            </w:r>
          </w:p>
          <w:p>
            <w:pPr>
              <w:pStyle w:val="10"/>
              <w:bidi w:val="0"/>
              <w:rPr>
                <w:rFonts w:hint="default"/>
                <w:color w:val="auto"/>
              </w:rPr>
            </w:pPr>
            <w:bookmarkStart w:id="105" w:name="_Hlk140837423"/>
            <w:r>
              <w:rPr>
                <w:rFonts w:hint="default"/>
                <w:color w:val="auto"/>
              </w:rPr>
              <w:t>（1）植被保护措施</w:t>
            </w:r>
          </w:p>
          <w:p>
            <w:pPr>
              <w:pStyle w:val="10"/>
              <w:bidi w:val="0"/>
              <w:rPr>
                <w:rFonts w:hint="default"/>
                <w:color w:val="auto"/>
              </w:rPr>
            </w:pPr>
            <w:bookmarkStart w:id="106" w:name="_Hlk140834056"/>
            <w:r>
              <w:rPr>
                <w:rFonts w:hint="default"/>
                <w:color w:val="auto"/>
              </w:rPr>
              <w:t>①工程避让措施</w:t>
            </w:r>
          </w:p>
          <w:p>
            <w:pPr>
              <w:pStyle w:val="10"/>
              <w:bidi w:val="0"/>
              <w:rPr>
                <w:rFonts w:hint="default" w:eastAsia="宋体"/>
                <w:color w:val="auto"/>
                <w:lang w:val="en-US" w:eastAsia="zh-CN"/>
              </w:rPr>
            </w:pPr>
            <w:r>
              <w:rPr>
                <w:rFonts w:hint="eastAsia" w:ascii="Times New Roman" w:eastAsia="宋体"/>
                <w:color w:val="auto"/>
                <w:lang w:val="en-US" w:eastAsia="zh-CN"/>
              </w:rPr>
              <w:t>本项目</w:t>
            </w:r>
            <w:r>
              <w:rPr>
                <w:rFonts w:hint="eastAsia" w:eastAsia="宋体"/>
                <w:color w:val="auto"/>
                <w:lang w:val="en-US" w:eastAsia="zh-CN"/>
              </w:rPr>
              <w:t>已采取避让措施，</w:t>
            </w:r>
            <w:r>
              <w:rPr>
                <w:rFonts w:hint="default"/>
                <w:color w:val="auto"/>
              </w:rPr>
              <w:t>利用</w:t>
            </w:r>
            <w:r>
              <w:rPr>
                <w:rFonts w:hint="eastAsia" w:ascii="Times New Roman" w:eastAsia="宋体"/>
                <w:color w:val="auto"/>
                <w:lang w:val="en-US" w:eastAsia="zh-CN"/>
              </w:rPr>
              <w:t>莫24井</w:t>
            </w:r>
            <w:r>
              <w:rPr>
                <w:rFonts w:hint="default"/>
                <w:color w:val="auto"/>
              </w:rPr>
              <w:t>原有</w:t>
            </w:r>
            <w:r>
              <w:rPr>
                <w:rFonts w:hint="eastAsia" w:ascii="Times New Roman" w:eastAsia="宋体"/>
                <w:color w:val="auto"/>
                <w:lang w:val="en-US" w:eastAsia="zh-CN"/>
              </w:rPr>
              <w:t>井场、生活营地和探临</w:t>
            </w:r>
            <w:r>
              <w:rPr>
                <w:rFonts w:hint="default"/>
                <w:color w:val="auto"/>
              </w:rPr>
              <w:t>道路</w:t>
            </w:r>
            <w:r>
              <w:rPr>
                <w:rFonts w:hint="eastAsia" w:ascii="Times New Roman" w:eastAsia="宋体"/>
                <w:color w:val="auto"/>
                <w:lang w:val="en-US" w:eastAsia="zh-CN"/>
              </w:rPr>
              <w:t>选址</w:t>
            </w:r>
            <w:r>
              <w:rPr>
                <w:rFonts w:hint="eastAsia" w:eastAsia="宋体"/>
                <w:color w:val="auto"/>
                <w:lang w:val="en-US" w:eastAsia="zh-CN"/>
              </w:rPr>
              <w:t>；</w:t>
            </w:r>
            <w:r>
              <w:rPr>
                <w:rFonts w:hint="default"/>
                <w:color w:val="auto"/>
              </w:rPr>
              <w:t>井场、生活营地</w:t>
            </w:r>
            <w:r>
              <w:rPr>
                <w:rFonts w:hint="eastAsia"/>
                <w:color w:val="auto"/>
                <w:lang w:val="en-US" w:eastAsia="zh-CN"/>
              </w:rPr>
              <w:t>和探临道路</w:t>
            </w:r>
            <w:r>
              <w:rPr>
                <w:rFonts w:hint="default"/>
                <w:color w:val="auto"/>
              </w:rPr>
              <w:t>在满足勘探设计和施工要求的前提下，</w:t>
            </w:r>
            <w:r>
              <w:rPr>
                <w:rFonts w:hint="eastAsia"/>
                <w:color w:val="auto"/>
                <w:lang w:val="en-US" w:eastAsia="zh-CN"/>
              </w:rPr>
              <w:t>应根据现场情况进行适当调整。机械设备、施工用房和储罐区、材料堆放区、生活营地用房、污水防渗池、</w:t>
            </w:r>
            <w:r>
              <w:rPr>
                <w:rFonts w:hint="eastAsia" w:ascii="Times New Roman" w:eastAsia="宋体"/>
                <w:color w:val="auto"/>
                <w:lang w:val="en-US" w:eastAsia="zh-CN"/>
              </w:rPr>
              <w:t>施工道路</w:t>
            </w:r>
            <w:r>
              <w:rPr>
                <w:rFonts w:hint="eastAsia"/>
                <w:color w:val="auto"/>
                <w:lang w:val="en-US" w:eastAsia="zh-CN"/>
              </w:rPr>
              <w:t>等需要压占或开挖土地的区域尽量</w:t>
            </w:r>
            <w:r>
              <w:rPr>
                <w:rFonts w:hint="default"/>
                <w:color w:val="auto"/>
              </w:rPr>
              <w:t>避开野生植物生长</w:t>
            </w:r>
            <w:r>
              <w:rPr>
                <w:rFonts w:hint="eastAsia"/>
                <w:color w:val="auto"/>
                <w:lang w:val="en-US" w:eastAsia="zh-CN"/>
              </w:rPr>
              <w:t>相对较多的位置</w:t>
            </w:r>
            <w:r>
              <w:rPr>
                <w:rFonts w:hint="default"/>
                <w:color w:val="auto"/>
              </w:rPr>
              <w:t>。</w:t>
            </w:r>
            <w:bookmarkStart w:id="107" w:name="_Hlk136795909"/>
          </w:p>
          <w:p>
            <w:pPr>
              <w:pStyle w:val="10"/>
              <w:bidi w:val="0"/>
              <w:rPr>
                <w:rFonts w:hint="default"/>
                <w:color w:val="auto"/>
              </w:rPr>
            </w:pPr>
            <w:r>
              <w:rPr>
                <w:rFonts w:hint="default"/>
                <w:color w:val="auto"/>
              </w:rPr>
              <w:t>②减缓措施</w:t>
            </w:r>
          </w:p>
          <w:p>
            <w:pPr>
              <w:keepNext w:val="0"/>
              <w:keepLines w:val="0"/>
              <w:pageBreakBefore w:val="0"/>
              <w:widowControl/>
              <w:numPr>
                <w:ilvl w:val="0"/>
                <w:numId w:val="14"/>
              </w:numPr>
              <w:kinsoku/>
              <w:wordWrap/>
              <w:overflowPunct/>
              <w:topLinePunct w:val="0"/>
              <w:autoSpaceDE/>
              <w:autoSpaceDN/>
              <w:bidi w:val="0"/>
              <w:adjustRightInd w:val="0"/>
              <w:snapToGrid w:val="0"/>
              <w:spacing w:line="500" w:lineRule="exact"/>
              <w:ind w:left="0" w:leftChars="0" w:firstLine="480" w:firstLineChars="200"/>
              <w:jc w:val="both"/>
              <w:textAlignment w:val="auto"/>
              <w:rPr>
                <w:rFonts w:hint="eastAsia"/>
                <w:color w:val="auto"/>
                <w:lang w:eastAsia="zh-CN"/>
              </w:rPr>
            </w:pPr>
            <w:r>
              <w:rPr>
                <w:rFonts w:hint="default"/>
                <w:color w:val="auto"/>
              </w:rPr>
              <w:t>施工期应当尽量减少施工占地、严格控制施工作业面积</w:t>
            </w:r>
            <w:r>
              <w:rPr>
                <w:rFonts w:hint="eastAsia"/>
                <w:color w:val="auto"/>
                <w:lang w:eastAsia="zh-CN"/>
              </w:rPr>
              <w:t>。</w:t>
            </w:r>
          </w:p>
          <w:p>
            <w:pPr>
              <w:keepNext w:val="0"/>
              <w:keepLines w:val="0"/>
              <w:pageBreakBefore w:val="0"/>
              <w:widowControl/>
              <w:numPr>
                <w:ilvl w:val="0"/>
                <w:numId w:val="14"/>
              </w:numPr>
              <w:kinsoku/>
              <w:wordWrap/>
              <w:overflowPunct/>
              <w:topLinePunct w:val="0"/>
              <w:autoSpaceDE/>
              <w:autoSpaceDN/>
              <w:bidi w:val="0"/>
              <w:adjustRightInd w:val="0"/>
              <w:snapToGrid w:val="0"/>
              <w:spacing w:line="500" w:lineRule="exact"/>
              <w:ind w:left="0" w:leftChars="0" w:firstLine="480" w:firstLineChars="200"/>
              <w:jc w:val="both"/>
              <w:textAlignment w:val="auto"/>
              <w:rPr>
                <w:rFonts w:hint="default"/>
                <w:color w:val="auto"/>
              </w:rPr>
            </w:pPr>
            <w:r>
              <w:rPr>
                <w:rFonts w:hint="default"/>
                <w:color w:val="auto"/>
              </w:rPr>
              <w:t>严格控制探临道路施工作业带范围；采取限界措施，在井场四周、道路两侧和生活营地四周设置警示带。</w:t>
            </w:r>
          </w:p>
          <w:p>
            <w:pPr>
              <w:keepNext w:val="0"/>
              <w:keepLines w:val="0"/>
              <w:pageBreakBefore w:val="0"/>
              <w:widowControl/>
              <w:numPr>
                <w:ilvl w:val="0"/>
                <w:numId w:val="14"/>
              </w:numPr>
              <w:kinsoku/>
              <w:wordWrap/>
              <w:overflowPunct/>
              <w:topLinePunct w:val="0"/>
              <w:autoSpaceDE/>
              <w:autoSpaceDN/>
              <w:bidi w:val="0"/>
              <w:adjustRightInd w:val="0"/>
              <w:snapToGrid w:val="0"/>
              <w:spacing w:line="500" w:lineRule="exact"/>
              <w:ind w:left="0" w:leftChars="0" w:firstLine="480" w:firstLineChars="200"/>
              <w:jc w:val="both"/>
              <w:textAlignment w:val="auto"/>
              <w:rPr>
                <w:rFonts w:hint="eastAsia"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t>严格执行先修路，后开钻的原则</w:t>
            </w:r>
            <w:r>
              <w:rPr>
                <w:rFonts w:hint="eastAsia" w:eastAsia="宋体" w:cs="Times New Roman"/>
                <w:color w:val="auto"/>
                <w:kern w:val="0"/>
                <w:sz w:val="24"/>
                <w:szCs w:val="24"/>
                <w:lang w:val="en-US" w:eastAsia="zh-CN" w:bidi="ar-SA"/>
              </w:rPr>
              <w:t>，</w:t>
            </w:r>
            <w:r>
              <w:rPr>
                <w:rFonts w:hint="eastAsia"/>
                <w:color w:val="auto"/>
                <w:lang w:val="en-US" w:eastAsia="zh-CN"/>
              </w:rPr>
              <w:t>车辆</w:t>
            </w:r>
            <w:r>
              <w:rPr>
                <w:rFonts w:hint="default" w:ascii="Times New Roman" w:hAnsi="Times New Roman" w:eastAsia="宋体" w:cs="Times New Roman"/>
                <w:color w:val="auto"/>
                <w:kern w:val="0"/>
                <w:sz w:val="24"/>
                <w:szCs w:val="24"/>
                <w:lang w:val="en-US" w:eastAsia="zh-CN" w:bidi="ar-SA"/>
              </w:rPr>
              <w:t>沿已有车辙行驶，不</w:t>
            </w:r>
            <w:r>
              <w:rPr>
                <w:rFonts w:hint="eastAsia" w:eastAsia="宋体" w:cs="Times New Roman"/>
                <w:color w:val="auto"/>
                <w:kern w:val="0"/>
                <w:sz w:val="24"/>
                <w:szCs w:val="24"/>
                <w:lang w:val="en-US" w:eastAsia="zh-CN" w:bidi="ar-SA"/>
              </w:rPr>
              <w:t>得</w:t>
            </w:r>
            <w:r>
              <w:rPr>
                <w:rFonts w:hint="default" w:ascii="Times New Roman" w:hAnsi="Times New Roman" w:eastAsia="宋体" w:cs="Times New Roman"/>
                <w:color w:val="auto"/>
                <w:kern w:val="0"/>
                <w:sz w:val="24"/>
                <w:szCs w:val="24"/>
                <w:lang w:val="en-US" w:eastAsia="zh-CN" w:bidi="ar-SA"/>
              </w:rPr>
              <w:t>随意开设便道</w:t>
            </w:r>
            <w:r>
              <w:rPr>
                <w:rFonts w:hint="eastAsia" w:eastAsia="宋体" w:cs="Times New Roman"/>
                <w:color w:val="auto"/>
                <w:kern w:val="0"/>
                <w:sz w:val="24"/>
                <w:szCs w:val="24"/>
                <w:lang w:val="en-US" w:eastAsia="zh-CN" w:bidi="ar-SA"/>
              </w:rPr>
              <w:t>，</w:t>
            </w:r>
            <w:r>
              <w:rPr>
                <w:rFonts w:hint="default" w:ascii="Times New Roman" w:hAnsi="Times New Roman" w:eastAsia="宋体" w:cs="Times New Roman"/>
                <w:color w:val="auto"/>
                <w:kern w:val="0"/>
                <w:sz w:val="24"/>
                <w:szCs w:val="24"/>
                <w:lang w:val="en-US" w:eastAsia="zh-CN" w:bidi="ar-SA"/>
              </w:rPr>
              <w:t>杜绝车辆乱碾乱轧的情况发生</w:t>
            </w:r>
            <w:r>
              <w:rPr>
                <w:rFonts w:hint="eastAsia" w:ascii="Times New Roman" w:hAnsi="Times New Roman" w:eastAsia="宋体" w:cs="Times New Roman"/>
                <w:color w:val="auto"/>
                <w:kern w:val="0"/>
                <w:sz w:val="24"/>
                <w:szCs w:val="24"/>
                <w:lang w:val="en-US" w:eastAsia="zh-CN" w:bidi="ar-SA"/>
              </w:rPr>
              <w:t>。</w:t>
            </w:r>
          </w:p>
          <w:p>
            <w:pPr>
              <w:keepNext w:val="0"/>
              <w:keepLines w:val="0"/>
              <w:pageBreakBefore w:val="0"/>
              <w:widowControl/>
              <w:numPr>
                <w:ilvl w:val="0"/>
                <w:numId w:val="14"/>
              </w:numPr>
              <w:kinsoku/>
              <w:wordWrap/>
              <w:overflowPunct/>
              <w:topLinePunct w:val="0"/>
              <w:autoSpaceDE/>
              <w:autoSpaceDN/>
              <w:bidi w:val="0"/>
              <w:adjustRightInd w:val="0"/>
              <w:snapToGrid w:val="0"/>
              <w:spacing w:line="500" w:lineRule="exact"/>
              <w:ind w:left="0" w:leftChars="0" w:firstLine="480" w:firstLineChars="200"/>
              <w:jc w:val="both"/>
              <w:textAlignment w:val="auto"/>
              <w:rPr>
                <w:rFonts w:hint="default"/>
                <w:color w:val="auto"/>
              </w:rPr>
            </w:pPr>
            <w:r>
              <w:rPr>
                <w:rFonts w:hint="default"/>
                <w:color w:val="auto"/>
              </w:rPr>
              <w:t>加强对工作人员的管理和宣传教育，禁止车辆、人员随意碾压或扰动</w:t>
            </w:r>
            <w:r>
              <w:rPr>
                <w:rFonts w:hint="eastAsia"/>
                <w:color w:val="auto"/>
                <w:lang w:val="en-US" w:eastAsia="zh-CN"/>
              </w:rPr>
              <w:t>临时占地</w:t>
            </w:r>
            <w:r>
              <w:rPr>
                <w:rFonts w:hint="default"/>
                <w:color w:val="auto"/>
              </w:rPr>
              <w:t>范围外的场地。</w:t>
            </w:r>
          </w:p>
          <w:p>
            <w:pPr>
              <w:keepNext w:val="0"/>
              <w:keepLines w:val="0"/>
              <w:pageBreakBefore w:val="0"/>
              <w:widowControl/>
              <w:numPr>
                <w:ilvl w:val="0"/>
                <w:numId w:val="14"/>
              </w:numPr>
              <w:kinsoku/>
              <w:wordWrap/>
              <w:overflowPunct/>
              <w:topLinePunct w:val="0"/>
              <w:autoSpaceDE/>
              <w:autoSpaceDN/>
              <w:bidi w:val="0"/>
              <w:adjustRightInd w:val="0"/>
              <w:snapToGrid w:val="0"/>
              <w:spacing w:line="500" w:lineRule="exact"/>
              <w:ind w:left="0" w:leftChars="0" w:firstLine="480" w:firstLineChars="200"/>
              <w:jc w:val="both"/>
              <w:textAlignment w:val="auto"/>
              <w:rPr>
                <w:rFonts w:hint="default"/>
                <w:color w:val="auto"/>
              </w:rPr>
            </w:pPr>
            <w:r>
              <w:rPr>
                <w:rFonts w:hint="default"/>
                <w:color w:val="auto"/>
              </w:rPr>
              <w:t>严格控制井场、生活营地及探临道路等各类工程建设活动在临时占地范围内，不得随意扩大、碾压周边野生植被，最大限度减缓对野生植物生存环境的破坏；</w:t>
            </w:r>
          </w:p>
          <w:p>
            <w:pPr>
              <w:keepNext w:val="0"/>
              <w:keepLines w:val="0"/>
              <w:pageBreakBefore w:val="0"/>
              <w:widowControl/>
              <w:numPr>
                <w:ilvl w:val="0"/>
                <w:numId w:val="14"/>
              </w:numPr>
              <w:kinsoku/>
              <w:wordWrap/>
              <w:overflowPunct/>
              <w:topLinePunct w:val="0"/>
              <w:autoSpaceDE/>
              <w:autoSpaceDN/>
              <w:bidi w:val="0"/>
              <w:adjustRightInd w:val="0"/>
              <w:snapToGrid w:val="0"/>
              <w:spacing w:line="500" w:lineRule="exact"/>
              <w:ind w:left="0" w:leftChars="0" w:firstLine="480" w:firstLineChars="200"/>
              <w:jc w:val="both"/>
              <w:textAlignment w:val="auto"/>
              <w:rPr>
                <w:rFonts w:hint="default"/>
                <w:color w:val="auto"/>
              </w:rPr>
            </w:pPr>
            <w:r>
              <w:rPr>
                <w:rFonts w:hint="default"/>
                <w:color w:val="auto"/>
              </w:rPr>
              <w:t>确保各环保设施正常运行，避免各类污染物对土壤环境的影响，防止进一步影响其上部生长的野生植被。</w:t>
            </w:r>
          </w:p>
          <w:p>
            <w:pPr>
              <w:pStyle w:val="10"/>
              <w:keepNext w:val="0"/>
              <w:keepLines w:val="0"/>
              <w:pageBreakBefore w:val="0"/>
              <w:widowControl/>
              <w:numPr>
                <w:ilvl w:val="0"/>
                <w:numId w:val="14"/>
              </w:numPr>
              <w:kinsoku/>
              <w:wordWrap/>
              <w:overflowPunct/>
              <w:topLinePunct w:val="0"/>
              <w:autoSpaceDE/>
              <w:autoSpaceDN/>
              <w:bidi w:val="0"/>
              <w:adjustRightInd w:val="0"/>
              <w:snapToGrid w:val="0"/>
              <w:ind w:left="0" w:leftChars="0" w:firstLine="480" w:firstLineChars="200"/>
              <w:textAlignment w:val="auto"/>
              <w:rPr>
                <w:rFonts w:hint="default"/>
                <w:color w:val="auto"/>
                <w:lang w:val="en-US"/>
              </w:rPr>
            </w:pPr>
            <w:r>
              <w:rPr>
                <w:rFonts w:hint="default"/>
                <w:color w:val="auto"/>
              </w:rPr>
              <w:t>项目在建设过程中，应避免在大风天气作业，避免风蚀造成的水土流失</w:t>
            </w:r>
            <w:r>
              <w:rPr>
                <w:rFonts w:hint="eastAsia"/>
                <w:color w:val="auto"/>
                <w:lang w:val="en-US" w:eastAsia="zh-CN"/>
              </w:rPr>
              <w:t>增加，对于施工造成活化的土地，应使用砂砾石进行地表硬化或使用防尘网进行苫盖；</w:t>
            </w:r>
          </w:p>
          <w:p>
            <w:pPr>
              <w:pStyle w:val="10"/>
              <w:keepNext w:val="0"/>
              <w:keepLines w:val="0"/>
              <w:pageBreakBefore w:val="0"/>
              <w:widowControl/>
              <w:numPr>
                <w:ilvl w:val="0"/>
                <w:numId w:val="14"/>
              </w:numPr>
              <w:kinsoku/>
              <w:wordWrap/>
              <w:overflowPunct/>
              <w:topLinePunct w:val="0"/>
              <w:autoSpaceDE/>
              <w:autoSpaceDN/>
              <w:bidi w:val="0"/>
              <w:adjustRightInd w:val="0"/>
              <w:snapToGrid w:val="0"/>
              <w:ind w:left="0" w:leftChars="0" w:firstLine="480" w:firstLineChars="200"/>
              <w:textAlignment w:val="auto"/>
              <w:rPr>
                <w:rFonts w:hint="eastAsia" w:eastAsia="宋体"/>
                <w:color w:val="auto"/>
                <w:lang w:eastAsia="zh-CN"/>
              </w:rPr>
            </w:pPr>
            <w:r>
              <w:rPr>
                <w:rFonts w:hint="default"/>
                <w:color w:val="auto"/>
              </w:rPr>
              <w:t>提高施工效率，缩短施工时间。严格按施工方案要求在指定地点堆放临时土石方，并压紧、夯实，做好洒水降尘工作，减少扬尘对野生植被的影响</w:t>
            </w:r>
            <w:r>
              <w:rPr>
                <w:rFonts w:hint="eastAsia"/>
                <w:color w:val="auto"/>
                <w:lang w:eastAsia="zh-CN"/>
              </w:rPr>
              <w:t>。</w:t>
            </w:r>
          </w:p>
          <w:p>
            <w:pPr>
              <w:pStyle w:val="10"/>
              <w:bidi w:val="0"/>
              <w:rPr>
                <w:rFonts w:hint="default"/>
                <w:color w:val="auto"/>
              </w:rPr>
            </w:pPr>
            <w:bookmarkStart w:id="108" w:name="_Hlk143198760"/>
            <w:r>
              <w:rPr>
                <w:rFonts w:hint="default"/>
                <w:color w:val="auto"/>
              </w:rPr>
              <w:t>③修复措施</w:t>
            </w:r>
          </w:p>
          <w:p>
            <w:pPr>
              <w:pStyle w:val="10"/>
              <w:bidi w:val="0"/>
              <w:rPr>
                <w:rFonts w:hint="default"/>
                <w:color w:val="auto"/>
              </w:rPr>
            </w:pPr>
            <w:r>
              <w:rPr>
                <w:rFonts w:hint="default"/>
                <w:color w:val="auto"/>
              </w:rPr>
              <w:t>施工结束后，施工单位应负责及时清理现场，做到井场整洁、无杂物，完井后施工机械、设备及时撤离，对生活营地和探临道路等占地进行清理平整，废水和固体废物全部妥善处置，禁止现场遗留；尽量利用井场及探临道路施工时产生的表层土对临时占地进行覆盖，</w:t>
            </w:r>
            <w:r>
              <w:rPr>
                <w:rFonts w:hint="default"/>
                <w:color w:val="auto"/>
                <w:lang w:val="en-US" w:eastAsia="zh-CN"/>
              </w:rPr>
              <w:t>对场地进行清理、平整以利于植被恢复</w:t>
            </w:r>
            <w:r>
              <w:rPr>
                <w:rFonts w:hint="default"/>
                <w:color w:val="auto"/>
              </w:rPr>
              <w:t>。</w:t>
            </w:r>
          </w:p>
          <w:bookmarkEnd w:id="108"/>
          <w:p>
            <w:pPr>
              <w:pStyle w:val="10"/>
              <w:bidi w:val="0"/>
              <w:rPr>
                <w:rFonts w:hint="default"/>
                <w:color w:val="auto"/>
              </w:rPr>
            </w:pPr>
            <w:r>
              <w:rPr>
                <w:rFonts w:hint="default"/>
                <w:color w:val="auto"/>
              </w:rPr>
              <w:t>④补偿措施</w:t>
            </w:r>
          </w:p>
          <w:p>
            <w:pPr>
              <w:pStyle w:val="10"/>
              <w:bidi w:val="0"/>
              <w:rPr>
                <w:rFonts w:hint="default" w:eastAsia="宋体"/>
                <w:color w:val="auto"/>
                <w:lang w:val="en-US" w:eastAsia="zh-CN"/>
              </w:rPr>
            </w:pPr>
            <w:r>
              <w:rPr>
                <w:rFonts w:hint="default"/>
                <w:color w:val="auto"/>
              </w:rPr>
              <w:t>严格按照有关规定依法办理征地手续，按照被征用土地的原始用途给予补偿，目前建设单位正在办理临时占地手续，临时占地征用时间为2年。</w:t>
            </w:r>
            <w:r>
              <w:rPr>
                <w:rFonts w:hint="eastAsia"/>
                <w:color w:val="auto"/>
                <w:lang w:val="en-US" w:eastAsia="zh-CN"/>
              </w:rPr>
              <w:t>此外还应办理植被补偿手续。</w:t>
            </w:r>
          </w:p>
          <w:bookmarkEnd w:id="105"/>
          <w:bookmarkEnd w:id="106"/>
          <w:bookmarkEnd w:id="107"/>
          <w:p>
            <w:pPr>
              <w:snapToGrid w:val="0"/>
              <w:spacing w:line="50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⑤管理措施</w:t>
            </w:r>
          </w:p>
          <w:p>
            <w:pPr>
              <w:snapToGrid w:val="0"/>
              <w:spacing w:line="50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严格遵守油田环境保护规章制度；严格控制井场占地，严格划定车辆行驶路线及探临道路开拓路线，禁止运输车辆乱碾乱轧；严格规定各类工作人员的活动范围，最大限度减少对植物生存环境的踩踏破坏和对野生动物栖息地的侵扰。加强环境保护宣传工作，提高施工人员环保意识，特别是注意对野生动物和自然植被的保护。</w:t>
            </w:r>
          </w:p>
          <w:p>
            <w:pPr>
              <w:snapToGrid w:val="0"/>
              <w:spacing w:line="50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（2）野生动物</w:t>
            </w:r>
            <w:r>
              <w:rPr>
                <w:rFonts w:hint="eastAsia" w:cs="Times New Roman"/>
                <w:color w:val="auto"/>
                <w:lang w:val="en-US" w:eastAsia="zh-CN"/>
              </w:rPr>
              <w:t>保护措施</w:t>
            </w:r>
          </w:p>
          <w:p>
            <w:pPr>
              <w:snapToGrid w:val="0"/>
              <w:spacing w:line="50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建设单位在施工过程中要严格规定工作人员的活动范围，尽量不侵扰野生动物的栖息地；对施工人员开展保护野生动物宣传教育工作，强化保护野生动物的观念；加强管理，确保各生产设施的正常运行，避免强噪声情况发生而对野生动物造成惊扰。</w:t>
            </w:r>
          </w:p>
          <w:p>
            <w:pPr>
              <w:snapToGrid w:val="0"/>
              <w:spacing w:line="50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上述生态环境保护措施均为技术可行、经济合理、稳定可靠、便于实施的成熟措施，在油气田勘探过程中得到广泛应用。采取上述措施后，可有效减轻对野生动植物及水土流失的不利影响，施工过程中对周围生态环境的破坏可降低至可接受水平。</w:t>
            </w:r>
          </w:p>
          <w:p>
            <w:pPr>
              <w:snapToGrid w:val="0"/>
              <w:spacing w:line="50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w:t>
            </w:r>
            <w:r>
              <w:rPr>
                <w:rFonts w:hint="default" w:ascii="Times New Roman" w:hAnsi="Times New Roman" w:cs="Times New Roman"/>
                <w:color w:val="auto"/>
                <w:lang w:val="en-US" w:eastAsia="zh-CN"/>
              </w:rPr>
              <w:t>3</w:t>
            </w:r>
            <w:r>
              <w:rPr>
                <w:rFonts w:hint="default" w:ascii="Times New Roman" w:hAnsi="Times New Roman" w:cs="Times New Roman"/>
                <w:color w:val="auto"/>
              </w:rPr>
              <w:t>）防沙治沙措施</w:t>
            </w:r>
          </w:p>
          <w:p>
            <w:pPr>
              <w:snapToGrid w:val="0"/>
              <w:spacing w:line="50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本次评价要求建设单位严格按照《中华人民共和国防沙治沙法》（2018）《关于加强沙区建设项目环境影响评价工作的通知》（新环环评发〔2020〕138号）</w:t>
            </w:r>
            <w:r>
              <w:rPr>
                <w:rFonts w:hint="eastAsia" w:ascii="Times New Roman" w:hAnsi="Times New Roman" w:cs="Times New Roman"/>
                <w:color w:val="auto"/>
                <w:lang w:val="en-US" w:eastAsia="zh-CN"/>
              </w:rPr>
              <w:t>和《新疆维吾尔自治区实施</w:t>
            </w:r>
            <w:r>
              <w:rPr>
                <w:rFonts w:hint="eastAsia" w:cs="Times New Roman"/>
                <w:color w:val="auto"/>
                <w:lang w:val="en-US" w:eastAsia="zh-CN"/>
              </w:rPr>
              <w:t>〈</w:t>
            </w:r>
            <w:r>
              <w:rPr>
                <w:rFonts w:hint="eastAsia" w:ascii="Times New Roman" w:hAnsi="Times New Roman" w:cs="Times New Roman"/>
                <w:color w:val="auto"/>
                <w:lang w:val="en-US" w:eastAsia="zh-CN"/>
              </w:rPr>
              <w:t>中华人民共和国防沙治沙法</w:t>
            </w:r>
            <w:r>
              <w:rPr>
                <w:rFonts w:hint="eastAsia" w:cs="Times New Roman"/>
                <w:color w:val="auto"/>
                <w:lang w:val="en-US" w:eastAsia="zh-CN"/>
              </w:rPr>
              <w:t>〉</w:t>
            </w:r>
            <w:r>
              <w:rPr>
                <w:rFonts w:hint="eastAsia" w:ascii="Times New Roman" w:hAnsi="Times New Roman" w:cs="Times New Roman"/>
                <w:color w:val="auto"/>
                <w:lang w:val="en-US" w:eastAsia="zh-CN"/>
              </w:rPr>
              <w:t>办法》（2025年1月1日实施）</w:t>
            </w:r>
            <w:r>
              <w:rPr>
                <w:rFonts w:hint="default" w:ascii="Times New Roman" w:hAnsi="Times New Roman" w:cs="Times New Roman"/>
                <w:color w:val="auto"/>
              </w:rPr>
              <w:t>中</w:t>
            </w:r>
            <w:r>
              <w:rPr>
                <w:rFonts w:hint="eastAsia" w:ascii="Times New Roman" w:hAnsi="Times New Roman" w:cs="Times New Roman"/>
                <w:color w:val="auto"/>
                <w:lang w:val="en-US" w:eastAsia="zh-CN"/>
              </w:rPr>
              <w:t>要求</w:t>
            </w:r>
            <w:r>
              <w:rPr>
                <w:rFonts w:hint="default" w:ascii="Times New Roman" w:hAnsi="Times New Roman" w:cs="Times New Roman"/>
                <w:color w:val="auto"/>
              </w:rPr>
              <w:t>，</w:t>
            </w:r>
            <w:r>
              <w:rPr>
                <w:rFonts w:hint="eastAsia" w:ascii="Times New Roman" w:hAnsi="Times New Roman" w:cs="Times New Roman"/>
                <w:color w:val="auto"/>
                <w:lang w:val="en-US" w:eastAsia="zh-CN"/>
              </w:rPr>
              <w:t>采取以下</w:t>
            </w:r>
            <w:r>
              <w:rPr>
                <w:rFonts w:hint="default" w:ascii="Times New Roman" w:hAnsi="Times New Roman" w:cs="Times New Roman"/>
                <w:color w:val="auto"/>
              </w:rPr>
              <w:t>防沙治沙措施：</w:t>
            </w:r>
          </w:p>
          <w:p>
            <w:pPr>
              <w:snapToGrid w:val="0"/>
              <w:spacing w:line="50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①大力宣传防沙治沙</w:t>
            </w:r>
            <w:r>
              <w:rPr>
                <w:rFonts w:hint="eastAsia" w:ascii="Times New Roman" w:hAnsi="Times New Roman" w:cs="Times New Roman"/>
                <w:color w:val="auto"/>
                <w:lang w:val="en-US" w:eastAsia="zh-CN"/>
              </w:rPr>
              <w:t>相关法律法规</w:t>
            </w:r>
            <w:r>
              <w:rPr>
                <w:rFonts w:hint="default" w:ascii="Times New Roman" w:hAnsi="Times New Roman" w:cs="Times New Roman"/>
                <w:color w:val="auto"/>
              </w:rPr>
              <w:t>，使施工人员知法、懂法、守法，自觉保护林草植被，自觉履行防治义务；</w:t>
            </w:r>
          </w:p>
          <w:p>
            <w:pPr>
              <w:snapToGrid w:val="0"/>
              <w:spacing w:line="50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②严格控制施工活动范围，严禁施工车辆乱碾乱轧，避免对占地范围外的土壤和植被造成扰动；</w:t>
            </w:r>
          </w:p>
          <w:p>
            <w:pPr>
              <w:snapToGrid w:val="0"/>
              <w:spacing w:line="50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③优化施工组织，缩短施工时间，避免在大风天气作业，避免造成土壤风蚀影响；</w:t>
            </w:r>
          </w:p>
          <w:p>
            <w:pPr>
              <w:snapToGrid w:val="0"/>
              <w:spacing w:line="500" w:lineRule="exact"/>
              <w:ind w:firstLine="480" w:firstLineChars="200"/>
              <w:rPr>
                <w:rFonts w:hint="default" w:ascii="Times New Roman" w:hAnsi="Times New Roman" w:eastAsia="宋体" w:cs="Times New Roman"/>
                <w:color w:val="auto"/>
                <w:lang w:val="en-US" w:eastAsia="zh-CN"/>
              </w:rPr>
            </w:pPr>
            <w:r>
              <w:rPr>
                <w:rFonts w:hint="default" w:ascii="Times New Roman" w:hAnsi="Times New Roman" w:cs="Times New Roman"/>
                <w:color w:val="auto"/>
              </w:rPr>
              <w:t>④</w:t>
            </w:r>
            <w:r>
              <w:rPr>
                <w:rFonts w:hint="eastAsia" w:cs="Times New Roman"/>
                <w:color w:val="auto"/>
                <w:lang w:val="en-US" w:eastAsia="zh-CN"/>
              </w:rPr>
              <w:t>对施工造成的活化地表进行砂砾石覆盖并压实，对于开挖临时土方使用防尘网或彩条布进行覆盖；</w:t>
            </w:r>
          </w:p>
          <w:p>
            <w:pPr>
              <w:snapToGrid w:val="0"/>
              <w:spacing w:line="50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⑤施工结束后及时对占地进行清理、平整，按照征地文件规定对占地进行经济补偿。</w:t>
            </w:r>
          </w:p>
          <w:p>
            <w:pPr>
              <w:snapToGrid w:val="0"/>
              <w:spacing w:line="50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w:t>
            </w:r>
            <w:r>
              <w:rPr>
                <w:rFonts w:hint="default" w:ascii="Times New Roman" w:hAnsi="Times New Roman" w:cs="Times New Roman"/>
                <w:color w:val="auto"/>
                <w:lang w:val="en-US" w:eastAsia="zh-CN"/>
              </w:rPr>
              <w:t>4</w:t>
            </w:r>
            <w:r>
              <w:rPr>
                <w:rFonts w:hint="default" w:ascii="Times New Roman" w:hAnsi="Times New Roman" w:cs="Times New Roman"/>
                <w:color w:val="auto"/>
              </w:rPr>
              <w:t>）水土流失防治措施</w:t>
            </w:r>
          </w:p>
          <w:p>
            <w:pPr>
              <w:snapToGrid w:val="0"/>
              <w:spacing w:line="500" w:lineRule="exact"/>
              <w:ind w:firstLine="480" w:firstLineChars="200"/>
              <w:rPr>
                <w:rFonts w:hint="default" w:ascii="Times New Roman" w:hAnsi="Times New Roman" w:cs="Times New Roman"/>
                <w:color w:val="auto"/>
              </w:rPr>
            </w:pPr>
            <w:r>
              <w:rPr>
                <w:rFonts w:hint="default" w:ascii="Times New Roman" w:hAnsi="Times New Roman" w:cs="Times New Roman"/>
                <w:color w:val="auto"/>
                <w:lang w:val="en-US" w:eastAsia="zh-CN"/>
              </w:rPr>
              <w:t>①</w:t>
            </w:r>
            <w:r>
              <w:rPr>
                <w:rFonts w:hint="default" w:ascii="Times New Roman" w:hAnsi="Times New Roman" w:cs="Times New Roman"/>
                <w:color w:val="auto"/>
              </w:rPr>
              <w:t>施工期间严格划定施工活动范围，严格控制和管理运输车辆及重型机械的运行范围，不另辟施工便道，不得离开探临道路及随意驾驶，避免增加对地表的扰动和破坏。</w:t>
            </w:r>
          </w:p>
          <w:p>
            <w:pPr>
              <w:snapToGrid w:val="0"/>
              <w:spacing w:line="500" w:lineRule="exact"/>
              <w:ind w:firstLine="480" w:firstLineChars="200"/>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②</w:t>
            </w:r>
            <w:r>
              <w:rPr>
                <w:rFonts w:hint="eastAsia" w:cs="Times New Roman"/>
                <w:color w:val="auto"/>
                <w:lang w:val="en-US" w:eastAsia="zh-CN"/>
              </w:rPr>
              <w:t>对施工活动扰动范围的土壤铺设砂砾石硬化或采取防尘网覆盖，减少风力侵蚀；</w:t>
            </w:r>
          </w:p>
          <w:p>
            <w:pPr>
              <w:snapToGrid w:val="0"/>
              <w:spacing w:line="500" w:lineRule="exact"/>
              <w:ind w:firstLine="480" w:firstLineChars="200"/>
              <w:rPr>
                <w:rFonts w:hint="default" w:ascii="Times New Roman" w:hAnsi="Times New Roman" w:cs="Times New Roman"/>
                <w:color w:val="auto"/>
              </w:rPr>
            </w:pPr>
            <w:r>
              <w:rPr>
                <w:rFonts w:hint="default" w:ascii="Times New Roman" w:hAnsi="Times New Roman" w:cs="Times New Roman"/>
                <w:color w:val="auto"/>
                <w:lang w:val="en-US" w:eastAsia="zh-CN"/>
              </w:rPr>
              <w:t>③</w:t>
            </w:r>
            <w:r>
              <w:rPr>
                <w:rFonts w:hint="default" w:ascii="Times New Roman" w:hAnsi="Times New Roman" w:cs="Times New Roman"/>
                <w:color w:val="auto"/>
              </w:rPr>
              <w:t>合理安排施工时间，避免大风天气施工。</w:t>
            </w:r>
          </w:p>
          <w:p>
            <w:pPr>
              <w:snapToGrid w:val="0"/>
              <w:spacing w:line="500" w:lineRule="exact"/>
              <w:ind w:firstLine="480" w:firstLineChars="200"/>
              <w:rPr>
                <w:rFonts w:hint="eastAsia" w:ascii="Times New Roman" w:hAnsi="Times New Roman" w:eastAsia="宋体" w:cs="Times New Roman"/>
                <w:color w:val="auto"/>
                <w:lang w:eastAsia="zh-CN"/>
              </w:rPr>
            </w:pPr>
            <w:r>
              <w:rPr>
                <w:rFonts w:hint="default" w:ascii="Times New Roman" w:hAnsi="Times New Roman" w:cs="Times New Roman"/>
                <w:color w:val="auto"/>
                <w:lang w:val="en-US" w:eastAsia="zh-CN"/>
              </w:rPr>
              <w:t>④</w:t>
            </w:r>
            <w:r>
              <w:rPr>
                <w:rFonts w:hint="default" w:ascii="Times New Roman" w:hAnsi="Times New Roman" w:cs="Times New Roman"/>
                <w:color w:val="auto"/>
              </w:rPr>
              <w:t>施工结束后应及时对临时占地进行清理、平整，平整过程中要保证土体再塑，防止水土流失</w:t>
            </w:r>
            <w:r>
              <w:rPr>
                <w:rFonts w:hint="eastAsia" w:cs="Times New Roman"/>
                <w:color w:val="auto"/>
                <w:lang w:eastAsia="zh-CN"/>
              </w:rPr>
              <w:t>；</w:t>
            </w:r>
          </w:p>
          <w:p>
            <w:pPr>
              <w:snapToGrid w:val="0"/>
              <w:spacing w:line="50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⑤对临时占地范围内的</w:t>
            </w:r>
            <w:r>
              <w:rPr>
                <w:rFonts w:hint="eastAsia" w:cs="Times New Roman"/>
                <w:color w:val="auto"/>
                <w:lang w:val="en-US" w:eastAsia="zh-CN"/>
              </w:rPr>
              <w:t>植被</w:t>
            </w:r>
            <w:r>
              <w:rPr>
                <w:rFonts w:hint="default" w:ascii="Times New Roman" w:hAnsi="Times New Roman" w:cs="Times New Roman"/>
                <w:color w:val="auto"/>
              </w:rPr>
              <w:t>损失进行经济补偿。</w:t>
            </w:r>
          </w:p>
          <w:p>
            <w:pPr>
              <w:snapToGrid w:val="0"/>
              <w:spacing w:line="500" w:lineRule="exact"/>
              <w:ind w:firstLine="480" w:firstLineChars="200"/>
              <w:rPr>
                <w:rFonts w:hint="default" w:ascii="Times New Roman" w:hAnsi="Times New Roman" w:cs="Times New Roman"/>
                <w:color w:val="auto"/>
              </w:rPr>
            </w:pPr>
          </w:p>
          <w:p>
            <w:pPr>
              <w:snapToGrid w:val="0"/>
              <w:spacing w:line="500" w:lineRule="exact"/>
              <w:ind w:firstLine="480" w:firstLineChars="200"/>
              <w:rPr>
                <w:rFonts w:hint="default" w:ascii="Times New Roman" w:hAnsi="Times New Roman" w:cs="Times New Roman"/>
                <w:color w:val="auto"/>
              </w:rPr>
            </w:pPr>
          </w:p>
          <w:p>
            <w:pPr>
              <w:snapToGrid w:val="0"/>
              <w:spacing w:line="500" w:lineRule="exact"/>
              <w:ind w:firstLine="480" w:firstLineChars="200"/>
              <w:rPr>
                <w:rFonts w:hint="default" w:ascii="Times New Roman" w:hAnsi="Times New Roman" w:cs="Times New Roman"/>
                <w:color w:val="auto"/>
              </w:rPr>
            </w:pPr>
          </w:p>
          <w:p>
            <w:pPr>
              <w:snapToGrid w:val="0"/>
              <w:spacing w:line="500" w:lineRule="exact"/>
              <w:ind w:firstLine="480" w:firstLineChars="200"/>
              <w:rPr>
                <w:rFonts w:hint="default" w:ascii="Times New Roman" w:hAnsi="Times New Roman" w:cs="Times New Roman"/>
                <w:color w:val="auto"/>
              </w:rPr>
            </w:pPr>
          </w:p>
          <w:p>
            <w:pPr>
              <w:snapToGrid w:val="0"/>
              <w:spacing w:line="500" w:lineRule="exact"/>
              <w:ind w:firstLine="480" w:firstLineChars="200"/>
              <w:rPr>
                <w:rFonts w:hint="default" w:ascii="Times New Roman" w:hAnsi="Times New Roman" w:cs="Times New Roman"/>
                <w:color w:val="auto"/>
              </w:rPr>
            </w:pPr>
          </w:p>
          <w:p>
            <w:pPr>
              <w:snapToGrid w:val="0"/>
              <w:spacing w:line="500" w:lineRule="exact"/>
              <w:ind w:firstLine="480" w:firstLineChars="200"/>
              <w:rPr>
                <w:rFonts w:hint="default" w:ascii="Times New Roman" w:hAnsi="Times New Roman" w:cs="Times New Roman"/>
                <w:color w:val="auto"/>
              </w:rPr>
            </w:pPr>
          </w:p>
          <w:p>
            <w:pPr>
              <w:snapToGrid w:val="0"/>
              <w:spacing w:line="500" w:lineRule="exact"/>
              <w:ind w:firstLine="480" w:firstLineChars="200"/>
              <w:rPr>
                <w:rFonts w:hint="default" w:ascii="Times New Roman" w:hAnsi="Times New Roman" w:cs="Times New Roman"/>
                <w:color w:val="auto"/>
              </w:rPr>
            </w:pPr>
          </w:p>
          <w:p>
            <w:pPr>
              <w:snapToGrid w:val="0"/>
              <w:spacing w:line="240" w:lineRule="auto"/>
              <w:ind w:firstLine="480" w:firstLineChars="200"/>
              <w:rPr>
                <w:rFonts w:hint="eastAsia" w:ascii="Times New Roman" w:hAnsi="Times New Roman" w:eastAsia="宋体" w:cs="Times New Roman"/>
                <w:color w:val="auto"/>
                <w:lang w:eastAsia="zh-CN"/>
              </w:rPr>
            </w:pPr>
          </w:p>
          <w:p>
            <w:pPr>
              <w:snapToGrid w:val="0"/>
              <w:spacing w:line="500" w:lineRule="exact"/>
              <w:ind w:firstLine="480" w:firstLineChars="200"/>
              <w:rPr>
                <w:rFonts w:hint="default" w:cs="Times New Roman"/>
                <w:color w:val="auto"/>
                <w:lang w:val="en-US" w:eastAsia="zh-CN"/>
              </w:rPr>
            </w:pPr>
            <w:r>
              <w:rPr>
                <w:rFonts w:hint="eastAsia" w:cs="Times New Roman"/>
                <w:color w:val="auto"/>
                <w:lang w:val="en-US" w:eastAsia="zh-CN"/>
              </w:rPr>
              <w:t xml:space="preserve"> </w:t>
            </w:r>
          </w:p>
          <w:p>
            <w:pPr>
              <w:snapToGrid w:val="0"/>
              <w:spacing w:line="500" w:lineRule="exact"/>
              <w:ind w:firstLine="480" w:firstLineChars="200"/>
              <w:rPr>
                <w:rFonts w:hint="default" w:ascii="Times New Roman" w:hAnsi="Times New Roman" w:cs="Times New Roman"/>
                <w:color w:val="auto"/>
              </w:rPr>
            </w:pPr>
          </w:p>
          <w:p>
            <w:pPr>
              <w:snapToGrid w:val="0"/>
              <w:spacing w:line="500" w:lineRule="exact"/>
              <w:ind w:firstLine="480" w:firstLineChars="200"/>
              <w:rPr>
                <w:rFonts w:hint="default" w:ascii="Times New Roman" w:hAnsi="Times New Roman" w:cs="Times New Roman"/>
                <w:color w:val="auto"/>
              </w:rPr>
            </w:pPr>
          </w:p>
          <w:p>
            <w:pPr>
              <w:pStyle w:val="56"/>
              <w:bidi w:val="0"/>
              <w:rPr>
                <w:rFonts w:hint="default"/>
                <w:color w:val="auto"/>
              </w:rPr>
            </w:pPr>
            <w:r>
              <w:rPr>
                <w:rFonts w:hint="default"/>
                <w:color w:val="auto"/>
              </w:rPr>
              <w:t xml:space="preserve">图5-1    </w:t>
            </w:r>
            <w:r>
              <w:rPr>
                <w:rFonts w:hint="eastAsia"/>
                <w:color w:val="auto"/>
                <w:lang w:val="en-US" w:eastAsia="zh-CN"/>
              </w:rPr>
              <w:t>项目</w:t>
            </w:r>
            <w:r>
              <w:rPr>
                <w:rFonts w:hint="default"/>
                <w:color w:val="auto"/>
              </w:rPr>
              <w:t>生态环境保护措施示意图</w:t>
            </w:r>
          </w:p>
          <w:p>
            <w:pPr>
              <w:pStyle w:val="54"/>
              <w:numPr>
                <w:ilvl w:val="0"/>
                <w:numId w:val="13"/>
              </w:numPr>
              <w:bidi w:val="0"/>
              <w:ind w:left="9" w:leftChars="0" w:firstLineChars="0"/>
              <w:rPr>
                <w:rFonts w:hint="default"/>
                <w:color w:val="auto"/>
              </w:rPr>
            </w:pPr>
            <w:r>
              <w:rPr>
                <w:rFonts w:hint="default"/>
                <w:color w:val="auto"/>
              </w:rPr>
              <w:t>大气污染防治措施</w:t>
            </w:r>
          </w:p>
          <w:p>
            <w:pPr>
              <w:pStyle w:val="10"/>
              <w:bidi w:val="0"/>
              <w:rPr>
                <w:rFonts w:hint="default"/>
                <w:color w:val="auto"/>
              </w:rPr>
            </w:pPr>
            <w:bookmarkStart w:id="109" w:name="_Hlk176185340"/>
            <w:r>
              <w:rPr>
                <w:rFonts w:hint="default"/>
                <w:color w:val="auto"/>
              </w:rPr>
              <w:t>（1）使用符合国家标准的油品，加强机械、车辆的维护。</w:t>
            </w:r>
          </w:p>
          <w:p>
            <w:pPr>
              <w:pStyle w:val="10"/>
              <w:bidi w:val="0"/>
              <w:rPr>
                <w:rFonts w:hint="default"/>
                <w:color w:val="auto"/>
              </w:rPr>
            </w:pPr>
            <w:r>
              <w:rPr>
                <w:rFonts w:hint="default"/>
                <w:color w:val="auto"/>
              </w:rPr>
              <w:t>（2）</w:t>
            </w:r>
            <w:r>
              <w:rPr>
                <w:rFonts w:hint="eastAsia"/>
                <w:color w:val="auto"/>
                <w:lang w:val="en-US" w:eastAsia="zh-CN"/>
              </w:rPr>
              <w:t>施工</w:t>
            </w:r>
            <w:r>
              <w:rPr>
                <w:rFonts w:hint="default"/>
                <w:color w:val="auto"/>
              </w:rPr>
              <w:t>运输车辆在施工现场和周边道路行驶时，严格控制车速</w:t>
            </w:r>
            <w:r>
              <w:rPr>
                <w:rFonts w:hint="eastAsia"/>
                <w:color w:val="auto"/>
                <w:lang w:eastAsia="zh-CN"/>
              </w:rPr>
              <w:t>；</w:t>
            </w:r>
            <w:r>
              <w:rPr>
                <w:rFonts w:hint="eastAsia"/>
                <w:color w:val="auto"/>
                <w:lang w:val="en-US" w:eastAsia="zh-CN"/>
              </w:rPr>
              <w:t>车辆</w:t>
            </w:r>
            <w:r>
              <w:rPr>
                <w:rFonts w:hint="default"/>
                <w:color w:val="auto"/>
              </w:rPr>
              <w:t>不得超载，并采取密闭或遮盖措施；车辆沿</w:t>
            </w:r>
            <w:r>
              <w:rPr>
                <w:rFonts w:hint="eastAsia"/>
                <w:color w:val="auto"/>
                <w:lang w:eastAsia="zh-CN"/>
              </w:rPr>
              <w:t>探临道路</w:t>
            </w:r>
            <w:r>
              <w:rPr>
                <w:rFonts w:hint="default"/>
                <w:color w:val="auto"/>
              </w:rPr>
              <w:t>行驶，不得随意开设便道。</w:t>
            </w:r>
          </w:p>
          <w:p>
            <w:pPr>
              <w:pStyle w:val="10"/>
              <w:bidi w:val="0"/>
              <w:rPr>
                <w:rFonts w:hint="default"/>
                <w:color w:val="auto"/>
              </w:rPr>
            </w:pPr>
            <w:r>
              <w:rPr>
                <w:rFonts w:hint="default"/>
                <w:color w:val="auto"/>
              </w:rPr>
              <w:t>（3）易起尘物料在运输、存放时加盖遮盖物，最大限度防止扬尘扩散</w:t>
            </w:r>
            <w:r>
              <w:rPr>
                <w:rFonts w:hint="eastAsia"/>
                <w:color w:val="auto"/>
                <w:lang w:eastAsia="zh-CN"/>
              </w:rPr>
              <w:t>；</w:t>
            </w:r>
            <w:r>
              <w:rPr>
                <w:rFonts w:hint="eastAsia"/>
                <w:color w:val="auto"/>
                <w:lang w:val="en-US" w:eastAsia="zh-CN"/>
              </w:rPr>
              <w:t>施工过程采取设置洒水、覆盖等降尘措施，合理安排施工时间；对施工人员进行扬尘防治知识培训，提高施工人员的环保意识和扬尘防治技能</w:t>
            </w:r>
            <w:r>
              <w:rPr>
                <w:rFonts w:hint="default"/>
                <w:color w:val="auto"/>
              </w:rPr>
              <w:t>。</w:t>
            </w:r>
          </w:p>
          <w:p>
            <w:pPr>
              <w:pStyle w:val="10"/>
              <w:bidi w:val="0"/>
              <w:rPr>
                <w:rFonts w:hint="default"/>
                <w:color w:val="auto"/>
              </w:rPr>
            </w:pPr>
            <w:r>
              <w:rPr>
                <w:rFonts w:hint="default"/>
                <w:color w:val="auto"/>
              </w:rPr>
              <w:t>（4）试油期产生的伴生气气量不稳定，</w:t>
            </w:r>
            <w:r>
              <w:rPr>
                <w:rFonts w:hint="eastAsia"/>
                <w:color w:val="auto"/>
                <w:lang w:val="en-US" w:eastAsia="zh-CN"/>
              </w:rPr>
              <w:t>一般</w:t>
            </w:r>
            <w:r>
              <w:rPr>
                <w:rFonts w:hint="default"/>
                <w:color w:val="auto"/>
              </w:rPr>
              <w:t>不具备回收利用条件，经排气管线充分燃烧后排放</w:t>
            </w:r>
            <w:r>
              <w:rPr>
                <w:rFonts w:hint="default"/>
                <w:color w:val="auto"/>
                <w:lang w:eastAsia="zh-CN"/>
              </w:rPr>
              <w:t>，</w:t>
            </w:r>
            <w:r>
              <w:rPr>
                <w:rFonts w:hint="default"/>
                <w:color w:val="auto"/>
              </w:rPr>
              <w:t>定期检查伴生气燃烧设备，加强燃烧设备的运营维护，确保正常运行。</w:t>
            </w:r>
          </w:p>
          <w:p>
            <w:pPr>
              <w:pStyle w:val="10"/>
              <w:bidi w:val="0"/>
              <w:rPr>
                <w:rFonts w:hint="default"/>
                <w:color w:val="auto"/>
              </w:rPr>
            </w:pPr>
            <w:r>
              <w:rPr>
                <w:rFonts w:hint="default"/>
                <w:color w:val="auto"/>
              </w:rPr>
              <w:t>（5）试油期加强采出液储罐管理、装卸必须采取密闭装载方式，尽可能减少无组织挥发性有机物的排放。</w:t>
            </w:r>
          </w:p>
          <w:p>
            <w:pPr>
              <w:pStyle w:val="10"/>
              <w:bidi w:val="0"/>
              <w:rPr>
                <w:rFonts w:hint="default"/>
                <w:color w:val="auto"/>
              </w:rPr>
            </w:pPr>
            <w:r>
              <w:rPr>
                <w:rFonts w:hint="default"/>
                <w:color w:val="auto"/>
              </w:rPr>
              <w:t>（6）柴油储罐采用固定顶罐，井场内单座柴油罐容积为30m</w:t>
            </w:r>
            <w:r>
              <w:rPr>
                <w:rFonts w:hint="default"/>
                <w:color w:val="auto"/>
                <w:vertAlign w:val="superscript"/>
              </w:rPr>
              <w:t>3</w:t>
            </w:r>
            <w:r>
              <w:rPr>
                <w:rFonts w:hint="default"/>
                <w:color w:val="auto"/>
              </w:rPr>
              <w:t>，小于75m</w:t>
            </w:r>
            <w:r>
              <w:rPr>
                <w:rFonts w:hint="default"/>
                <w:color w:val="auto"/>
                <w:vertAlign w:val="superscript"/>
              </w:rPr>
              <w:t>3</w:t>
            </w:r>
            <w:r>
              <w:rPr>
                <w:rFonts w:hint="default"/>
                <w:color w:val="auto"/>
              </w:rPr>
              <w:t>，且柴</w:t>
            </w:r>
            <w:bookmarkStart w:id="110" w:name="OLE_LINK58"/>
            <w:r>
              <w:rPr>
                <w:rFonts w:hint="default"/>
                <w:color w:val="auto"/>
              </w:rPr>
              <w:t>油真实</w:t>
            </w:r>
            <w:r>
              <w:rPr>
                <w:rFonts w:hint="eastAsia"/>
                <w:color w:val="auto"/>
                <w:lang w:eastAsia="zh-CN"/>
              </w:rPr>
              <w:t>蒸汽</w:t>
            </w:r>
            <w:bookmarkEnd w:id="110"/>
            <w:r>
              <w:rPr>
                <w:rFonts w:hint="eastAsia"/>
                <w:color w:val="auto"/>
                <w:lang w:eastAsia="zh-CN"/>
              </w:rPr>
              <w:t>压</w:t>
            </w:r>
            <w:r>
              <w:rPr>
                <w:rFonts w:hint="default"/>
                <w:color w:val="auto"/>
              </w:rPr>
              <w:t>小于27.6kPa，按照《挥发性</w:t>
            </w:r>
            <w:bookmarkStart w:id="111" w:name="OLE_LINK70"/>
            <w:r>
              <w:rPr>
                <w:rFonts w:hint="default"/>
                <w:color w:val="auto"/>
              </w:rPr>
              <w:t>有机物无组织排</w:t>
            </w:r>
            <w:bookmarkEnd w:id="111"/>
            <w:r>
              <w:rPr>
                <w:rFonts w:hint="default"/>
                <w:color w:val="auto"/>
              </w:rPr>
              <w:t>放控制标准》（GB37822-2019）中要求可不采取油罐烃蒸气回收措施。施工期应加强储罐的检修和维护，柴油储罐罐体应保持完好，不应有孔洞；储罐附件开口（孔），除采样、计量和例行检查、维护和其他正常活动外，应密闭；定期监测呼吸阀的定压是否符合设定要求。</w:t>
            </w:r>
          </w:p>
          <w:p>
            <w:pPr>
              <w:widowControl/>
              <w:snapToGrid w:val="0"/>
              <w:spacing w:line="500" w:lineRule="exact"/>
              <w:ind w:firstLine="480" w:firstLineChars="200"/>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（7）油基岩屑暂存时采用苫布遮盖、及时清运，减少无组挥发性有机物产生。</w:t>
            </w:r>
          </w:p>
          <w:p>
            <w:pPr>
              <w:widowControl/>
              <w:snapToGrid w:val="0"/>
              <w:spacing w:line="500" w:lineRule="exact"/>
              <w:ind w:firstLine="480" w:firstLineChars="200"/>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（8）硫化氢的产生具有不确定性，伴生气中若含有硫化氢，可随伴生气一同充分燃烧。施工期应定期检查伴生气燃烧设备，加强燃烧设备的运营维护，确保伴生气充分燃烧，最大程度减少硫化氢的污染影响。</w:t>
            </w:r>
          </w:p>
          <w:p>
            <w:pPr>
              <w:widowControl/>
              <w:snapToGrid w:val="0"/>
              <w:spacing w:line="500" w:lineRule="exact"/>
              <w:ind w:firstLine="480" w:firstLineChars="200"/>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以上防治措施，简单可行，具有可操作性，施工扬尘影响能够减缓到可以接受的程度。</w:t>
            </w:r>
          </w:p>
          <w:bookmarkEnd w:id="109"/>
          <w:p>
            <w:pPr>
              <w:pStyle w:val="54"/>
              <w:numPr>
                <w:ilvl w:val="0"/>
                <w:numId w:val="9"/>
              </w:numPr>
              <w:bidi w:val="0"/>
              <w:ind w:left="9" w:leftChars="0" w:firstLineChars="0"/>
              <w:rPr>
                <w:rFonts w:hint="default"/>
                <w:color w:val="auto"/>
              </w:rPr>
            </w:pPr>
            <w:bookmarkStart w:id="112" w:name="_Hlk136795800"/>
            <w:r>
              <w:rPr>
                <w:rFonts w:hint="default"/>
                <w:color w:val="auto"/>
              </w:rPr>
              <w:t>水污染防治措施</w:t>
            </w:r>
          </w:p>
          <w:p>
            <w:pPr>
              <w:widowControl/>
              <w:snapToGrid w:val="0"/>
              <w:spacing w:line="500" w:lineRule="exact"/>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（1）生活污水</w:t>
            </w:r>
          </w:p>
          <w:p>
            <w:pPr>
              <w:pStyle w:val="10"/>
              <w:bidi w:val="0"/>
              <w:rPr>
                <w:rFonts w:hint="default"/>
                <w:color w:val="auto"/>
              </w:rPr>
            </w:pPr>
            <w:r>
              <w:rPr>
                <w:rFonts w:hint="default"/>
                <w:color w:val="auto"/>
                <w:lang w:val="en-US" w:eastAsia="zh-CN"/>
              </w:rPr>
              <w:t>本项目</w:t>
            </w:r>
            <w:r>
              <w:rPr>
                <w:rFonts w:hint="default"/>
                <w:color w:val="auto"/>
              </w:rPr>
              <w:t>施工期生活污水排入生活营地</w:t>
            </w:r>
            <w:r>
              <w:rPr>
                <w:rFonts w:hint="default"/>
                <w:color w:val="auto"/>
                <w:lang w:val="en-US" w:eastAsia="zh-CN"/>
              </w:rPr>
              <w:t>设置的</w:t>
            </w:r>
            <w:r>
              <w:rPr>
                <w:rFonts w:hint="default"/>
                <w:color w:val="auto"/>
              </w:rPr>
              <w:t>临时</w:t>
            </w:r>
            <w:r>
              <w:rPr>
                <w:rFonts w:hint="eastAsia"/>
                <w:color w:val="auto"/>
                <w:lang w:eastAsia="zh-CN"/>
              </w:rPr>
              <w:t>防渗储集池</w:t>
            </w:r>
            <w:r>
              <w:rPr>
                <w:rFonts w:hint="default"/>
                <w:color w:val="auto"/>
              </w:rPr>
              <w:t>暂存</w:t>
            </w:r>
            <w:r>
              <w:rPr>
                <w:rFonts w:hint="eastAsia"/>
                <w:color w:val="auto"/>
                <w:lang w:eastAsia="zh-CN"/>
              </w:rPr>
              <w:t>，</w:t>
            </w:r>
            <w:r>
              <w:rPr>
                <w:rFonts w:hint="eastAsia"/>
                <w:color w:val="auto"/>
                <w:lang w:val="en-US" w:eastAsia="zh-CN"/>
              </w:rPr>
              <w:t>生活污水</w:t>
            </w:r>
            <w:r>
              <w:rPr>
                <w:rFonts w:hint="default"/>
                <w:color w:val="auto"/>
              </w:rPr>
              <w:t>由吸污车抽出后运至</w:t>
            </w:r>
            <w:bookmarkStart w:id="113" w:name="_Hlk136795039"/>
            <w:r>
              <w:rPr>
                <w:rFonts w:hint="eastAsia"/>
                <w:color w:val="auto"/>
                <w:lang w:eastAsia="zh-CN"/>
              </w:rPr>
              <w:t>呼图壁县丰泉污水处理厂</w:t>
            </w:r>
            <w:r>
              <w:rPr>
                <w:rFonts w:hint="default"/>
                <w:color w:val="auto"/>
              </w:rPr>
              <w:t>处理</w:t>
            </w:r>
            <w:bookmarkEnd w:id="113"/>
            <w:r>
              <w:rPr>
                <w:rFonts w:hint="default"/>
                <w:color w:val="auto"/>
              </w:rPr>
              <w:t>。生活污水收集池采用HDPE防渗膜防渗，施工结束后防渗膜回收、收集池占地及时恢复原貌。</w:t>
            </w:r>
            <w:bookmarkStart w:id="114" w:name="_Hlk62325205"/>
            <w:bookmarkStart w:id="115" w:name="_Hlk91252762"/>
          </w:p>
          <w:p>
            <w:pPr>
              <w:pStyle w:val="10"/>
              <w:bidi w:val="0"/>
              <w:rPr>
                <w:rFonts w:hint="default"/>
                <w:color w:val="auto"/>
              </w:rPr>
            </w:pPr>
            <w:r>
              <w:rPr>
                <w:rFonts w:hint="eastAsia"/>
                <w:color w:val="auto"/>
              </w:rPr>
              <w:t>呼图壁县丰泉污水处理厂</w:t>
            </w:r>
            <w:r>
              <w:rPr>
                <w:rFonts w:hint="default"/>
                <w:color w:val="auto"/>
              </w:rPr>
              <w:t>环保手续履行情况见表</w:t>
            </w:r>
            <w:r>
              <w:rPr>
                <w:rFonts w:hint="eastAsia"/>
                <w:color w:val="auto"/>
                <w:lang w:val="en-US" w:eastAsia="zh-CN"/>
              </w:rPr>
              <w:t>5-1</w:t>
            </w:r>
            <w:r>
              <w:rPr>
                <w:rFonts w:hint="default"/>
                <w:color w:val="auto"/>
              </w:rPr>
              <w:t>。</w:t>
            </w:r>
          </w:p>
          <w:p>
            <w:pPr>
              <w:pStyle w:val="56"/>
              <w:bidi w:val="0"/>
              <w:rPr>
                <w:rFonts w:hint="eastAsia"/>
                <w:color w:val="auto"/>
              </w:rPr>
            </w:pPr>
            <w:r>
              <w:rPr>
                <w:rFonts w:hint="eastAsia"/>
                <w:color w:val="auto"/>
              </w:rPr>
              <w:t>表</w:t>
            </w:r>
            <w:r>
              <w:rPr>
                <w:rFonts w:hint="eastAsia"/>
                <w:color w:val="auto"/>
                <w:lang w:val="en-US" w:eastAsia="zh-CN"/>
              </w:rPr>
              <w:t>5-1</w:t>
            </w:r>
            <w:r>
              <w:rPr>
                <w:rFonts w:hint="eastAsia"/>
                <w:color w:val="auto"/>
              </w:rPr>
              <w:t xml:space="preserve">  </w:t>
            </w:r>
            <w:r>
              <w:rPr>
                <w:rFonts w:hint="eastAsia"/>
                <w:color w:val="auto"/>
                <w:lang w:eastAsia="zh-CN"/>
              </w:rPr>
              <w:t>呼图壁县丰泉污水处理厂</w:t>
            </w:r>
            <w:r>
              <w:rPr>
                <w:rFonts w:hint="eastAsia"/>
                <w:color w:val="auto"/>
              </w:rPr>
              <w:t>环保手续一览表</w:t>
            </w:r>
          </w:p>
          <w:tbl>
            <w:tblPr>
              <w:tblStyle w:val="2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99"/>
              <w:gridCol w:w="1926"/>
              <w:gridCol w:w="2849"/>
              <w:gridCol w:w="249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0" w:type="pct"/>
                  <w:tcMar>
                    <w:left w:w="28" w:type="dxa"/>
                    <w:right w:w="28" w:type="dxa"/>
                  </w:tcMar>
                  <w:vAlign w:val="center"/>
                </w:tcPr>
                <w:p>
                  <w:pPr>
                    <w:spacing w:line="300" w:lineRule="exact"/>
                    <w:jc w:val="center"/>
                    <w:rPr>
                      <w:rFonts w:hint="eastAsia" w:ascii="宋体" w:hAnsi="宋体"/>
                      <w:color w:val="auto"/>
                      <w:kern w:val="0"/>
                      <w:sz w:val="21"/>
                      <w:szCs w:val="21"/>
                    </w:rPr>
                  </w:pPr>
                  <w:r>
                    <w:rPr>
                      <w:rFonts w:hint="eastAsia" w:ascii="宋体" w:hAnsi="宋体"/>
                      <w:color w:val="auto"/>
                      <w:kern w:val="0"/>
                      <w:sz w:val="21"/>
                      <w:szCs w:val="21"/>
                    </w:rPr>
                    <w:t>序号</w:t>
                  </w:r>
                </w:p>
              </w:tc>
              <w:tc>
                <w:tcPr>
                  <w:tcW w:w="1223" w:type="pct"/>
                  <w:tcMar>
                    <w:left w:w="28" w:type="dxa"/>
                    <w:right w:w="28" w:type="dxa"/>
                  </w:tcMar>
                  <w:vAlign w:val="center"/>
                </w:tcPr>
                <w:p>
                  <w:pPr>
                    <w:spacing w:line="300" w:lineRule="exact"/>
                    <w:jc w:val="center"/>
                    <w:rPr>
                      <w:rFonts w:hint="eastAsia" w:ascii="宋体" w:hAnsi="宋体"/>
                      <w:color w:val="auto"/>
                      <w:kern w:val="0"/>
                      <w:sz w:val="21"/>
                      <w:szCs w:val="21"/>
                    </w:rPr>
                  </w:pPr>
                  <w:r>
                    <w:rPr>
                      <w:rFonts w:hint="eastAsia" w:ascii="宋体" w:hAnsi="宋体"/>
                      <w:color w:val="auto"/>
                      <w:kern w:val="0"/>
                      <w:sz w:val="21"/>
                      <w:szCs w:val="21"/>
                    </w:rPr>
                    <w:t>工程名称</w:t>
                  </w:r>
                </w:p>
              </w:tc>
              <w:tc>
                <w:tcPr>
                  <w:tcW w:w="1809" w:type="pct"/>
                  <w:tcMar>
                    <w:left w:w="28" w:type="dxa"/>
                    <w:right w:w="28" w:type="dxa"/>
                  </w:tcMar>
                  <w:vAlign w:val="center"/>
                </w:tcPr>
                <w:p>
                  <w:pPr>
                    <w:spacing w:line="300" w:lineRule="exact"/>
                    <w:jc w:val="center"/>
                    <w:rPr>
                      <w:rFonts w:hint="eastAsia" w:ascii="宋体" w:hAnsi="宋体"/>
                      <w:color w:val="auto"/>
                      <w:kern w:val="0"/>
                      <w:sz w:val="21"/>
                      <w:szCs w:val="21"/>
                    </w:rPr>
                  </w:pPr>
                  <w:r>
                    <w:rPr>
                      <w:rFonts w:hint="eastAsia" w:ascii="宋体" w:hAnsi="宋体"/>
                      <w:color w:val="auto"/>
                      <w:kern w:val="0"/>
                      <w:sz w:val="21"/>
                      <w:szCs w:val="21"/>
                    </w:rPr>
                    <w:t>环评批复机关、文号及时间</w:t>
                  </w:r>
                </w:p>
              </w:tc>
              <w:tc>
                <w:tcPr>
                  <w:tcW w:w="1585" w:type="pct"/>
                  <w:tcMar>
                    <w:left w:w="28" w:type="dxa"/>
                    <w:right w:w="28" w:type="dxa"/>
                  </w:tcMar>
                  <w:vAlign w:val="center"/>
                </w:tcPr>
                <w:p>
                  <w:pPr>
                    <w:spacing w:line="300" w:lineRule="exact"/>
                    <w:jc w:val="center"/>
                    <w:rPr>
                      <w:rFonts w:hint="eastAsia" w:ascii="宋体" w:hAnsi="宋体"/>
                      <w:color w:val="auto"/>
                      <w:kern w:val="0"/>
                      <w:sz w:val="21"/>
                      <w:szCs w:val="21"/>
                    </w:rPr>
                  </w:pPr>
                  <w:r>
                    <w:rPr>
                      <w:rFonts w:hint="eastAsia" w:ascii="宋体" w:hAnsi="宋体"/>
                      <w:color w:val="auto"/>
                      <w:kern w:val="0"/>
                      <w:sz w:val="21"/>
                      <w:szCs w:val="21"/>
                    </w:rPr>
                    <w:t>环保竣工验收批复机关、文号及时间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0" w:type="pct"/>
                  <w:tcMar>
                    <w:left w:w="28" w:type="dxa"/>
                    <w:right w:w="28" w:type="dxa"/>
                  </w:tcMar>
                  <w:vAlign w:val="center"/>
                </w:tcPr>
                <w:p>
                  <w:pPr>
                    <w:spacing w:line="300" w:lineRule="exact"/>
                    <w:jc w:val="center"/>
                    <w:rPr>
                      <w:rFonts w:hint="eastAsia" w:ascii="宋体" w:hAnsi="宋体" w:eastAsia="宋体"/>
                      <w:color w:val="auto"/>
                      <w:kern w:val="0"/>
                      <w:sz w:val="21"/>
                      <w:szCs w:val="21"/>
                      <w:lang w:val="en-US" w:eastAsia="zh-CN"/>
                    </w:rPr>
                  </w:pPr>
                  <w:r>
                    <w:rPr>
                      <w:rFonts w:hint="eastAsia" w:ascii="宋体" w:hAnsi="宋体"/>
                      <w:color w:val="auto"/>
                      <w:kern w:val="0"/>
                      <w:sz w:val="21"/>
                      <w:szCs w:val="21"/>
                      <w:lang w:val="en-US" w:eastAsia="zh-CN"/>
                    </w:rPr>
                    <w:t>1</w:t>
                  </w:r>
                </w:p>
              </w:tc>
              <w:tc>
                <w:tcPr>
                  <w:tcW w:w="1223" w:type="pct"/>
                  <w:tcMar>
                    <w:left w:w="28" w:type="dxa"/>
                    <w:right w:w="28" w:type="dxa"/>
                  </w:tcMar>
                  <w:vAlign w:val="center"/>
                </w:tcPr>
                <w:p>
                  <w:pPr>
                    <w:spacing w:line="300" w:lineRule="exact"/>
                    <w:jc w:val="center"/>
                    <w:rPr>
                      <w:rFonts w:hint="eastAsia" w:ascii="宋体" w:hAnsi="宋体"/>
                      <w:color w:val="auto"/>
                      <w:kern w:val="0"/>
                      <w:sz w:val="21"/>
                      <w:szCs w:val="21"/>
                    </w:rPr>
                  </w:pPr>
                  <w:r>
                    <w:rPr>
                      <w:rFonts w:hint="eastAsia" w:ascii="宋体" w:hAnsi="宋体"/>
                      <w:color w:val="auto"/>
                      <w:kern w:val="0"/>
                      <w:sz w:val="21"/>
                      <w:szCs w:val="21"/>
                    </w:rPr>
                    <w:t>呼图壁县丰泉污水处理厂提标改造工程环境影响报告表</w:t>
                  </w:r>
                </w:p>
              </w:tc>
              <w:tc>
                <w:tcPr>
                  <w:tcW w:w="1809" w:type="pct"/>
                  <w:tcMar>
                    <w:left w:w="28" w:type="dxa"/>
                    <w:right w:w="28" w:type="dxa"/>
                  </w:tcMar>
                  <w:vAlign w:val="center"/>
                </w:tcPr>
                <w:p>
                  <w:pPr>
                    <w:spacing w:line="300" w:lineRule="exact"/>
                    <w:jc w:val="center"/>
                    <w:rPr>
                      <w:rFonts w:hint="eastAsia" w:ascii="宋体" w:hAnsi="宋体" w:eastAsia="宋体" w:cs="宋体"/>
                      <w:color w:val="auto"/>
                      <w:sz w:val="21"/>
                      <w:szCs w:val="21"/>
                      <w:lang w:eastAsia="zh-CN"/>
                    </w:rPr>
                  </w:pPr>
                  <w:r>
                    <w:rPr>
                      <w:rFonts w:hint="eastAsia" w:ascii="宋体" w:hAnsi="宋体" w:cs="宋体"/>
                      <w:color w:val="auto"/>
                      <w:sz w:val="21"/>
                      <w:szCs w:val="21"/>
                    </w:rPr>
                    <w:t>原昌吉回族自治州环境保护局</w:t>
                  </w:r>
                  <w:r>
                    <w:rPr>
                      <w:rFonts w:hint="eastAsia" w:ascii="宋体" w:hAnsi="宋体" w:cs="宋体"/>
                      <w:color w:val="auto"/>
                      <w:sz w:val="21"/>
                      <w:szCs w:val="21"/>
                      <w:lang w:eastAsia="zh-CN"/>
                    </w:rPr>
                    <w:t>；</w:t>
                  </w:r>
                </w:p>
                <w:p>
                  <w:pPr>
                    <w:spacing w:line="300" w:lineRule="exact"/>
                    <w:jc w:val="center"/>
                    <w:rPr>
                      <w:rFonts w:hint="eastAsia" w:ascii="宋体" w:hAnsi="宋体" w:cs="宋体"/>
                      <w:color w:val="auto"/>
                      <w:sz w:val="21"/>
                      <w:szCs w:val="21"/>
                      <w:lang w:eastAsia="zh-CN"/>
                    </w:rPr>
                  </w:pPr>
                  <w:r>
                    <w:rPr>
                      <w:rFonts w:hint="eastAsia" w:ascii="宋体" w:hAnsi="宋体" w:cs="宋体"/>
                      <w:color w:val="auto"/>
                      <w:sz w:val="21"/>
                      <w:szCs w:val="21"/>
                      <w:lang w:eastAsia="zh-CN"/>
                    </w:rPr>
                    <w:t>（昌州环评〔2019〕51号）；</w:t>
                  </w:r>
                </w:p>
                <w:p>
                  <w:pPr>
                    <w:spacing w:line="300" w:lineRule="exact"/>
                    <w:jc w:val="center"/>
                    <w:rPr>
                      <w:rFonts w:hint="eastAsia" w:ascii="宋体" w:hAnsi="宋体" w:cs="宋体"/>
                      <w:color w:val="auto"/>
                      <w:sz w:val="21"/>
                      <w:szCs w:val="21"/>
                    </w:rPr>
                  </w:pPr>
                  <w:r>
                    <w:rPr>
                      <w:rFonts w:hint="eastAsia" w:ascii="宋体" w:hAnsi="宋体" w:cs="宋体"/>
                      <w:color w:val="auto"/>
                      <w:sz w:val="21"/>
                      <w:szCs w:val="21"/>
                      <w:lang w:eastAsia="zh-CN"/>
                    </w:rPr>
                    <w:t>2019年6月21日</w:t>
                  </w:r>
                </w:p>
              </w:tc>
              <w:tc>
                <w:tcPr>
                  <w:tcW w:w="1585" w:type="pct"/>
                  <w:tcMar>
                    <w:left w:w="28" w:type="dxa"/>
                    <w:right w:w="28" w:type="dxa"/>
                  </w:tcMar>
                  <w:vAlign w:val="center"/>
                </w:tcPr>
                <w:p>
                  <w:pPr>
                    <w:spacing w:line="300" w:lineRule="exact"/>
                    <w:jc w:val="center"/>
                    <w:rPr>
                      <w:rFonts w:hint="eastAsia" w:ascii="宋体" w:hAnsi="宋体" w:cs="宋体"/>
                      <w:color w:val="auto"/>
                      <w:sz w:val="21"/>
                      <w:szCs w:val="21"/>
                    </w:rPr>
                  </w:pPr>
                  <w:r>
                    <w:rPr>
                      <w:rFonts w:hint="eastAsia" w:ascii="宋体" w:hAnsi="宋体" w:cs="宋体"/>
                      <w:color w:val="auto"/>
                      <w:sz w:val="21"/>
                      <w:szCs w:val="21"/>
                    </w:rPr>
                    <w:t>2020年7月通过竣工环境保护</w:t>
                  </w:r>
                  <w:r>
                    <w:rPr>
                      <w:rFonts w:hint="eastAsia" w:ascii="宋体" w:hAnsi="宋体" w:cs="宋体"/>
                      <w:color w:val="auto"/>
                      <w:sz w:val="21"/>
                      <w:szCs w:val="21"/>
                      <w:lang w:val="en-US" w:eastAsia="zh-CN"/>
                    </w:rPr>
                    <w:t>自主</w:t>
                  </w:r>
                  <w:r>
                    <w:rPr>
                      <w:rFonts w:hint="eastAsia" w:ascii="宋体" w:hAnsi="宋体" w:cs="宋体"/>
                      <w:color w:val="auto"/>
                      <w:sz w:val="21"/>
                      <w:szCs w:val="21"/>
                    </w:rPr>
                    <w:t>验收</w:t>
                  </w:r>
                </w:p>
              </w:tc>
            </w:tr>
          </w:tbl>
          <w:p>
            <w:pPr>
              <w:pStyle w:val="10"/>
              <w:bidi w:val="0"/>
              <w:rPr>
                <w:rFonts w:hint="eastAsia"/>
                <w:color w:val="auto"/>
              </w:rPr>
            </w:pPr>
            <w:r>
              <w:rPr>
                <w:rFonts w:hint="eastAsia"/>
                <w:color w:val="auto"/>
              </w:rPr>
              <w:t>呼图壁县丰泉污水处理厂位于新疆维吾尔自治区昌吉回族自治州呼图壁县园户村镇大草滩（中心地理坐标：东经86°53′43.36″，北纬44°13′24.43″）。采用“预处理+初沉池+改良多级A/O+二沉池+高密度沉淀池+紫外线消毒”的处理工艺，出水水质满足《城镇污水处理厂污染物排放标准》（GB18918-2002）中的一级A标准后冬储夏灌综合利用。</w:t>
            </w:r>
            <w:r>
              <w:rPr>
                <w:rFonts w:hint="eastAsia" w:cs="宋体"/>
                <w:color w:val="auto"/>
              </w:rPr>
              <w:t>污水处理厂设计污水处理规模为1.5×1</w:t>
            </w:r>
            <w:r>
              <w:rPr>
                <w:rFonts w:cs="宋体"/>
                <w:color w:val="auto"/>
              </w:rPr>
              <w:t>0</w:t>
            </w:r>
            <w:r>
              <w:rPr>
                <w:rFonts w:cs="宋体"/>
                <w:color w:val="auto"/>
                <w:vertAlign w:val="superscript"/>
              </w:rPr>
              <w:t>4</w:t>
            </w:r>
            <w:r>
              <w:rPr>
                <w:rFonts w:hint="eastAsia" w:cs="宋体"/>
                <w:color w:val="auto"/>
              </w:rPr>
              <w:t>m</w:t>
            </w:r>
            <w:r>
              <w:rPr>
                <w:rFonts w:hint="eastAsia" w:cs="宋体"/>
                <w:color w:val="auto"/>
                <w:vertAlign w:val="superscript"/>
              </w:rPr>
              <w:t>3</w:t>
            </w:r>
            <w:r>
              <w:rPr>
                <w:rFonts w:hint="eastAsia" w:cs="宋体"/>
                <w:color w:val="auto"/>
              </w:rPr>
              <w:t>/d，目前实际处理规模约1.1×1</w:t>
            </w:r>
            <w:r>
              <w:rPr>
                <w:rFonts w:cs="宋体"/>
                <w:color w:val="auto"/>
              </w:rPr>
              <w:t>0</w:t>
            </w:r>
            <w:r>
              <w:rPr>
                <w:rFonts w:cs="宋体"/>
                <w:color w:val="auto"/>
                <w:vertAlign w:val="superscript"/>
              </w:rPr>
              <w:t>4</w:t>
            </w:r>
            <w:r>
              <w:rPr>
                <w:rFonts w:hint="eastAsia" w:cs="宋体"/>
                <w:color w:val="auto"/>
              </w:rPr>
              <w:t>m</w:t>
            </w:r>
            <w:r>
              <w:rPr>
                <w:rFonts w:hint="eastAsia" w:cs="宋体"/>
                <w:color w:val="auto"/>
                <w:vertAlign w:val="superscript"/>
              </w:rPr>
              <w:t>3</w:t>
            </w:r>
            <w:r>
              <w:rPr>
                <w:rFonts w:hint="eastAsia" w:cs="宋体"/>
                <w:color w:val="auto"/>
              </w:rPr>
              <w:t>/d</w:t>
            </w:r>
            <w:r>
              <w:rPr>
                <w:rFonts w:hint="eastAsia"/>
                <w:color w:val="auto"/>
              </w:rPr>
              <w:t>。</w:t>
            </w:r>
            <w:r>
              <w:rPr>
                <w:rFonts w:hint="eastAsia"/>
                <w:color w:val="auto"/>
                <w:lang w:val="en-US" w:eastAsia="zh-CN"/>
              </w:rPr>
              <w:t>本项目</w:t>
            </w:r>
            <w:r>
              <w:rPr>
                <w:rFonts w:hint="eastAsia"/>
                <w:color w:val="auto"/>
              </w:rPr>
              <w:t>生活污水</w:t>
            </w:r>
            <w:r>
              <w:rPr>
                <w:rFonts w:hint="eastAsia"/>
                <w:color w:val="auto"/>
                <w:lang w:val="en-US" w:eastAsia="zh-CN"/>
              </w:rPr>
              <w:t>产生量</w:t>
            </w:r>
            <w:r>
              <w:rPr>
                <w:rFonts w:hint="eastAsia"/>
                <w:color w:val="auto"/>
              </w:rPr>
              <w:t>29.12</w:t>
            </w:r>
            <w:r>
              <w:rPr>
                <w:rFonts w:cs="宋体"/>
                <w:color w:val="auto"/>
              </w:rPr>
              <w:t>m</w:t>
            </w:r>
            <w:r>
              <w:rPr>
                <w:rFonts w:cs="宋体"/>
                <w:color w:val="auto"/>
                <w:vertAlign w:val="superscript"/>
              </w:rPr>
              <w:t>3</w:t>
            </w:r>
            <w:r>
              <w:rPr>
                <w:rFonts w:hint="eastAsia" w:cs="宋体"/>
                <w:color w:val="auto"/>
              </w:rPr>
              <w:t>，</w:t>
            </w:r>
            <w:r>
              <w:rPr>
                <w:rFonts w:hint="eastAsia"/>
                <w:color w:val="auto"/>
              </w:rPr>
              <w:t>水量</w:t>
            </w:r>
            <w:r>
              <w:rPr>
                <w:rFonts w:hint="eastAsia"/>
                <w:color w:val="auto"/>
                <w:lang w:val="en-US" w:eastAsia="zh-CN"/>
              </w:rPr>
              <w:t>远小于污水处理厂剩余处理能力</w:t>
            </w:r>
            <w:r>
              <w:rPr>
                <w:rFonts w:hint="eastAsia"/>
                <w:color w:val="auto"/>
              </w:rPr>
              <w:t>，</w:t>
            </w:r>
            <w:r>
              <w:rPr>
                <w:rFonts w:hint="eastAsia"/>
                <w:color w:val="auto"/>
                <w:lang w:val="en-US" w:eastAsia="zh-CN"/>
              </w:rPr>
              <w:t>因此</w:t>
            </w:r>
            <w:r>
              <w:rPr>
                <w:rFonts w:hint="eastAsia"/>
                <w:color w:val="auto"/>
              </w:rPr>
              <w:t>不会对污水处理系统造成冲击，</w:t>
            </w:r>
            <w:r>
              <w:rPr>
                <w:rFonts w:hint="eastAsia"/>
                <w:color w:val="auto"/>
                <w:lang w:val="en-US" w:eastAsia="zh-CN"/>
              </w:rPr>
              <w:t>项目生活污水处理</w:t>
            </w:r>
            <w:r>
              <w:rPr>
                <w:rFonts w:hint="eastAsia"/>
                <w:color w:val="auto"/>
              </w:rPr>
              <w:t>依托可行。</w:t>
            </w:r>
          </w:p>
          <w:bookmarkEnd w:id="114"/>
          <w:bookmarkEnd w:id="115"/>
          <w:p>
            <w:pPr>
              <w:snapToGrid w:val="0"/>
              <w:spacing w:line="50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（2）试油废水</w:t>
            </w:r>
          </w:p>
          <w:p>
            <w:pPr>
              <w:adjustRightInd w:val="0"/>
              <w:snapToGrid w:val="0"/>
              <w:spacing w:line="500" w:lineRule="exact"/>
              <w:ind w:firstLine="456" w:firstLineChars="200"/>
              <w:rPr>
                <w:rFonts w:hint="default"/>
                <w:color w:val="auto"/>
              </w:rPr>
            </w:pPr>
            <w:r>
              <w:rPr>
                <w:rFonts w:hint="default" w:ascii="Times New Roman" w:hAnsi="Times New Roman" w:cs="Times New Roman" w:eastAsiaTheme="minorEastAsia"/>
                <w:color w:val="auto"/>
                <w:spacing w:val="-6"/>
                <w:highlight w:val="none"/>
              </w:rPr>
              <w:t>试油期产生的洗井废水和压裂返排液</w:t>
            </w:r>
            <w:r>
              <w:rPr>
                <w:rFonts w:hint="eastAsia" w:cs="Times New Roman" w:eastAsiaTheme="minorEastAsia"/>
                <w:color w:val="auto"/>
                <w:spacing w:val="-6"/>
                <w:highlight w:val="none"/>
                <w:lang w:val="en-US" w:eastAsia="zh-CN"/>
              </w:rPr>
              <w:t>通过2</w:t>
            </w:r>
            <w:r>
              <w:rPr>
                <w:rFonts w:hint="default" w:ascii="Times New Roman" w:hAnsi="Times New Roman" w:cs="Times New Roman" w:eastAsiaTheme="minorEastAsia"/>
                <w:color w:val="auto"/>
                <w:spacing w:val="-6"/>
                <w:highlight w:val="none"/>
              </w:rPr>
              <w:t>座60m</w:t>
            </w:r>
            <w:r>
              <w:rPr>
                <w:rFonts w:hint="default" w:ascii="Times New Roman" w:hAnsi="Times New Roman" w:cs="Times New Roman" w:eastAsiaTheme="minorEastAsia"/>
                <w:color w:val="auto"/>
                <w:spacing w:val="-6"/>
                <w:highlight w:val="none"/>
                <w:vertAlign w:val="superscript"/>
              </w:rPr>
              <w:t>3</w:t>
            </w:r>
            <w:r>
              <w:rPr>
                <w:rFonts w:hint="default" w:ascii="Times New Roman" w:hAnsi="Times New Roman" w:cs="Times New Roman" w:eastAsiaTheme="minorEastAsia"/>
                <w:color w:val="auto"/>
                <w:spacing w:val="-6"/>
                <w:highlight w:val="none"/>
              </w:rPr>
              <w:t>的试油废水储罐</w:t>
            </w:r>
            <w:r>
              <w:rPr>
                <w:rFonts w:hint="eastAsia" w:cs="Times New Roman" w:eastAsiaTheme="minorEastAsia"/>
                <w:color w:val="auto"/>
                <w:spacing w:val="-6"/>
                <w:highlight w:val="none"/>
                <w:lang w:val="en-US" w:eastAsia="zh-CN"/>
              </w:rPr>
              <w:t>收集</w:t>
            </w:r>
            <w:r>
              <w:rPr>
                <w:rFonts w:hint="default" w:ascii="Times New Roman" w:hAnsi="Times New Roman" w:cs="Times New Roman" w:eastAsiaTheme="minorEastAsia"/>
                <w:color w:val="auto"/>
                <w:spacing w:val="-6"/>
                <w:highlight w:val="none"/>
              </w:rPr>
              <w:t>，拉运至石西集中处理站采出水处理系统进行处理，处理达标后全部</w:t>
            </w:r>
            <w:r>
              <w:rPr>
                <w:rFonts w:hint="eastAsia" w:cs="Times New Roman" w:eastAsiaTheme="minorEastAsia"/>
                <w:color w:val="auto"/>
                <w:spacing w:val="-6"/>
                <w:highlight w:val="none"/>
                <w:lang w:val="en-US" w:eastAsia="zh-CN"/>
              </w:rPr>
              <w:t>用于</w:t>
            </w:r>
            <w:r>
              <w:rPr>
                <w:rFonts w:hint="default" w:ascii="Times New Roman" w:hAnsi="Times New Roman" w:cs="Times New Roman" w:eastAsiaTheme="minorEastAsia"/>
                <w:color w:val="auto"/>
                <w:spacing w:val="-6"/>
                <w:highlight w:val="none"/>
              </w:rPr>
              <w:t>油藏回注。</w:t>
            </w:r>
            <w:r>
              <w:rPr>
                <w:rFonts w:hint="default"/>
                <w:color w:val="auto"/>
              </w:rPr>
              <w:t>石西集中处理站环保手续履行情况见表</w:t>
            </w:r>
            <w:r>
              <w:rPr>
                <w:rFonts w:hint="eastAsia"/>
                <w:color w:val="auto"/>
                <w:lang w:val="en-US" w:eastAsia="zh-CN"/>
              </w:rPr>
              <w:t>5-2</w:t>
            </w:r>
            <w:r>
              <w:rPr>
                <w:rFonts w:hint="default"/>
                <w:color w:val="auto"/>
              </w:rPr>
              <w:t>。</w:t>
            </w:r>
          </w:p>
          <w:p>
            <w:pPr>
              <w:pStyle w:val="56"/>
              <w:bidi w:val="0"/>
              <w:rPr>
                <w:rFonts w:hint="eastAsia"/>
                <w:color w:val="auto"/>
              </w:rPr>
            </w:pPr>
            <w:r>
              <w:rPr>
                <w:rFonts w:hint="eastAsia"/>
                <w:color w:val="auto"/>
              </w:rPr>
              <w:t>表</w:t>
            </w:r>
            <w:r>
              <w:rPr>
                <w:rFonts w:hint="eastAsia"/>
                <w:color w:val="auto"/>
                <w:lang w:val="en-US" w:eastAsia="zh-CN"/>
              </w:rPr>
              <w:t>5-2</w:t>
            </w:r>
            <w:r>
              <w:rPr>
                <w:rFonts w:hint="eastAsia"/>
                <w:color w:val="auto"/>
              </w:rPr>
              <w:t xml:space="preserve">  石西集中处理环保手续一览表</w:t>
            </w:r>
          </w:p>
          <w:tbl>
            <w:tblPr>
              <w:tblStyle w:val="27"/>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28" w:type="dxa"/>
                <w:bottom w:w="0" w:type="dxa"/>
                <w:right w:w="28" w:type="dxa"/>
              </w:tblCellMar>
            </w:tblPr>
            <w:tblGrid>
              <w:gridCol w:w="658"/>
              <w:gridCol w:w="2079"/>
              <w:gridCol w:w="2666"/>
              <w:gridCol w:w="2467"/>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418" w:type="pct"/>
                  <w:vAlign w:val="center"/>
                </w:tcPr>
                <w:p>
                  <w:pPr>
                    <w:pStyle w:val="35"/>
                    <w:bidi w:val="0"/>
                    <w:rPr>
                      <w:rFonts w:hint="eastAsia"/>
                      <w:color w:val="auto"/>
                    </w:rPr>
                  </w:pPr>
                  <w:r>
                    <w:rPr>
                      <w:color w:val="auto"/>
                    </w:rPr>
                    <w:t>序号</w:t>
                  </w:r>
                </w:p>
              </w:tc>
              <w:tc>
                <w:tcPr>
                  <w:tcW w:w="1321" w:type="pct"/>
                  <w:tcBorders>
                    <w:left w:val="single" w:color="auto" w:sz="4" w:space="0"/>
                  </w:tcBorders>
                  <w:vAlign w:val="center"/>
                </w:tcPr>
                <w:p>
                  <w:pPr>
                    <w:pStyle w:val="35"/>
                    <w:bidi w:val="0"/>
                    <w:rPr>
                      <w:rFonts w:hint="eastAsia"/>
                      <w:color w:val="auto"/>
                    </w:rPr>
                  </w:pPr>
                  <w:r>
                    <w:rPr>
                      <w:color w:val="auto"/>
                    </w:rPr>
                    <w:t>环评文件</w:t>
                  </w:r>
                </w:p>
              </w:tc>
              <w:tc>
                <w:tcPr>
                  <w:tcW w:w="1694" w:type="pct"/>
                  <w:vAlign w:val="center"/>
                </w:tcPr>
                <w:p>
                  <w:pPr>
                    <w:pStyle w:val="35"/>
                    <w:bidi w:val="0"/>
                    <w:rPr>
                      <w:rFonts w:hint="eastAsia"/>
                      <w:color w:val="auto"/>
                    </w:rPr>
                  </w:pPr>
                  <w:r>
                    <w:rPr>
                      <w:color w:val="auto"/>
                    </w:rPr>
                    <w:t>环评批复文号</w:t>
                  </w:r>
                </w:p>
              </w:tc>
              <w:tc>
                <w:tcPr>
                  <w:tcW w:w="1567" w:type="pct"/>
                  <w:vAlign w:val="center"/>
                </w:tcPr>
                <w:p>
                  <w:pPr>
                    <w:pStyle w:val="35"/>
                    <w:bidi w:val="0"/>
                    <w:rPr>
                      <w:rFonts w:hint="eastAsia"/>
                      <w:color w:val="auto"/>
                    </w:rPr>
                  </w:pPr>
                  <w:r>
                    <w:rPr>
                      <w:color w:val="auto"/>
                    </w:rPr>
                    <w:t>验收情况</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418" w:type="pct"/>
                  <w:vAlign w:val="center"/>
                </w:tcPr>
                <w:p>
                  <w:pPr>
                    <w:pStyle w:val="35"/>
                    <w:bidi w:val="0"/>
                    <w:rPr>
                      <w:rFonts w:hint="eastAsia"/>
                      <w:color w:val="auto"/>
                    </w:rPr>
                  </w:pPr>
                  <w:r>
                    <w:rPr>
                      <w:color w:val="auto"/>
                    </w:rPr>
                    <w:t>1</w:t>
                  </w:r>
                </w:p>
              </w:tc>
              <w:tc>
                <w:tcPr>
                  <w:tcW w:w="1321" w:type="pct"/>
                  <w:tcBorders>
                    <w:left w:val="single" w:color="auto" w:sz="4" w:space="0"/>
                  </w:tcBorders>
                  <w:vAlign w:val="center"/>
                </w:tcPr>
                <w:p>
                  <w:pPr>
                    <w:pStyle w:val="35"/>
                    <w:bidi w:val="0"/>
                    <w:rPr>
                      <w:rFonts w:hint="eastAsia"/>
                      <w:color w:val="auto"/>
                    </w:rPr>
                  </w:pPr>
                  <w:r>
                    <w:rPr>
                      <w:color w:val="auto"/>
                    </w:rPr>
                    <w:t>新疆石油管理局石西油田开发建设</w:t>
                  </w:r>
                  <w:r>
                    <w:rPr>
                      <w:rFonts w:hint="eastAsia"/>
                      <w:color w:val="auto"/>
                    </w:rPr>
                    <w:t>项目</w:t>
                  </w:r>
                </w:p>
              </w:tc>
              <w:tc>
                <w:tcPr>
                  <w:tcW w:w="1694" w:type="pct"/>
                  <w:vAlign w:val="center"/>
                </w:tcPr>
                <w:p>
                  <w:pPr>
                    <w:pStyle w:val="35"/>
                    <w:bidi w:val="0"/>
                    <w:rPr>
                      <w:rFonts w:hint="eastAsia" w:eastAsia="宋体"/>
                      <w:color w:val="auto"/>
                      <w:lang w:eastAsia="zh-CN"/>
                    </w:rPr>
                  </w:pPr>
                  <w:r>
                    <w:rPr>
                      <w:color w:val="auto"/>
                    </w:rPr>
                    <w:t>原国家环境保护总局</w:t>
                  </w:r>
                  <w:r>
                    <w:rPr>
                      <w:rFonts w:hint="eastAsia"/>
                      <w:color w:val="auto"/>
                      <w:lang w:eastAsia="zh-CN"/>
                    </w:rPr>
                    <w:t>；</w:t>
                  </w:r>
                </w:p>
                <w:p>
                  <w:pPr>
                    <w:pStyle w:val="35"/>
                    <w:bidi w:val="0"/>
                    <w:rPr>
                      <w:rFonts w:hint="eastAsia" w:eastAsia="宋体"/>
                      <w:color w:val="auto"/>
                      <w:lang w:eastAsia="zh-CN"/>
                    </w:rPr>
                  </w:pPr>
                  <w:r>
                    <w:rPr>
                      <w:color w:val="auto"/>
                    </w:rPr>
                    <w:t>环发</w:t>
                  </w:r>
                  <w:r>
                    <w:rPr>
                      <w:rFonts w:hint="eastAsia"/>
                      <w:color w:val="auto"/>
                    </w:rPr>
                    <w:t>〔</w:t>
                  </w:r>
                  <w:r>
                    <w:rPr>
                      <w:color w:val="auto"/>
                    </w:rPr>
                    <w:t>1998</w:t>
                  </w:r>
                  <w:r>
                    <w:rPr>
                      <w:rFonts w:hint="eastAsia"/>
                      <w:color w:val="auto"/>
                    </w:rPr>
                    <w:t>〕</w:t>
                  </w:r>
                  <w:r>
                    <w:rPr>
                      <w:color w:val="auto"/>
                    </w:rPr>
                    <w:t>201号</w:t>
                  </w:r>
                  <w:r>
                    <w:rPr>
                      <w:rFonts w:hint="eastAsia"/>
                      <w:color w:val="auto"/>
                      <w:lang w:eastAsia="zh-CN"/>
                    </w:rPr>
                    <w:t>；</w:t>
                  </w:r>
                </w:p>
                <w:p>
                  <w:pPr>
                    <w:pStyle w:val="35"/>
                    <w:bidi w:val="0"/>
                    <w:rPr>
                      <w:rFonts w:hint="eastAsia"/>
                      <w:color w:val="auto"/>
                    </w:rPr>
                  </w:pPr>
                  <w:r>
                    <w:rPr>
                      <w:color w:val="auto"/>
                    </w:rPr>
                    <w:t>1998年8月3日</w:t>
                  </w:r>
                </w:p>
              </w:tc>
              <w:tc>
                <w:tcPr>
                  <w:tcW w:w="1567" w:type="pct"/>
                  <w:vAlign w:val="center"/>
                </w:tcPr>
                <w:p>
                  <w:pPr>
                    <w:pStyle w:val="35"/>
                    <w:bidi w:val="0"/>
                    <w:rPr>
                      <w:rFonts w:hint="eastAsia"/>
                      <w:color w:val="auto"/>
                    </w:rPr>
                  </w:pPr>
                  <w:r>
                    <w:rPr>
                      <w:color w:val="auto"/>
                    </w:rPr>
                    <w:t>原国家环境保护总局</w:t>
                  </w:r>
                </w:p>
                <w:p>
                  <w:pPr>
                    <w:pStyle w:val="35"/>
                    <w:bidi w:val="0"/>
                    <w:rPr>
                      <w:rFonts w:hint="eastAsia"/>
                      <w:color w:val="auto"/>
                    </w:rPr>
                  </w:pPr>
                  <w:bookmarkStart w:id="116" w:name="_Hlk39848713"/>
                  <w:r>
                    <w:rPr>
                      <w:color w:val="auto"/>
                    </w:rPr>
                    <w:t>环验</w:t>
                  </w:r>
                  <w:r>
                    <w:rPr>
                      <w:rFonts w:hint="eastAsia"/>
                      <w:color w:val="auto"/>
                    </w:rPr>
                    <w:t>〔</w:t>
                  </w:r>
                  <w:r>
                    <w:rPr>
                      <w:color w:val="auto"/>
                    </w:rPr>
                    <w:t>2005</w:t>
                  </w:r>
                  <w:r>
                    <w:rPr>
                      <w:rFonts w:hint="eastAsia"/>
                      <w:color w:val="auto"/>
                    </w:rPr>
                    <w:t>〕</w:t>
                  </w:r>
                  <w:r>
                    <w:rPr>
                      <w:color w:val="auto"/>
                    </w:rPr>
                    <w:t>007号</w:t>
                  </w:r>
                </w:p>
                <w:p>
                  <w:pPr>
                    <w:pStyle w:val="35"/>
                    <w:bidi w:val="0"/>
                    <w:rPr>
                      <w:rFonts w:hint="eastAsia"/>
                      <w:color w:val="auto"/>
                    </w:rPr>
                  </w:pPr>
                  <w:r>
                    <w:rPr>
                      <w:color w:val="auto"/>
                    </w:rPr>
                    <w:t>2005年1月13日</w:t>
                  </w:r>
                  <w:bookmarkEnd w:id="116"/>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418" w:type="pct"/>
                  <w:vAlign w:val="center"/>
                </w:tcPr>
                <w:p>
                  <w:pPr>
                    <w:pStyle w:val="35"/>
                    <w:bidi w:val="0"/>
                    <w:rPr>
                      <w:rFonts w:hint="eastAsia"/>
                      <w:color w:val="auto"/>
                    </w:rPr>
                  </w:pPr>
                  <w:r>
                    <w:rPr>
                      <w:color w:val="auto"/>
                    </w:rPr>
                    <w:t>2</w:t>
                  </w:r>
                </w:p>
              </w:tc>
              <w:tc>
                <w:tcPr>
                  <w:tcW w:w="1321" w:type="pct"/>
                  <w:tcBorders>
                    <w:left w:val="single" w:color="auto" w:sz="4" w:space="0"/>
                  </w:tcBorders>
                  <w:vAlign w:val="center"/>
                </w:tcPr>
                <w:p>
                  <w:pPr>
                    <w:pStyle w:val="35"/>
                    <w:bidi w:val="0"/>
                    <w:rPr>
                      <w:rFonts w:hint="eastAsia"/>
                      <w:color w:val="auto"/>
                    </w:rPr>
                  </w:pPr>
                  <w:r>
                    <w:rPr>
                      <w:color w:val="auto"/>
                    </w:rPr>
                    <w:t>石西油田作业区采油废水回注（再利用）工程</w:t>
                  </w:r>
                </w:p>
              </w:tc>
              <w:tc>
                <w:tcPr>
                  <w:tcW w:w="1694" w:type="pct"/>
                  <w:vAlign w:val="center"/>
                </w:tcPr>
                <w:p>
                  <w:pPr>
                    <w:pStyle w:val="35"/>
                    <w:bidi w:val="0"/>
                    <w:rPr>
                      <w:rFonts w:hint="eastAsia" w:eastAsia="宋体"/>
                      <w:color w:val="auto"/>
                      <w:lang w:eastAsia="zh-CN"/>
                    </w:rPr>
                  </w:pPr>
                  <w:r>
                    <w:rPr>
                      <w:color w:val="auto"/>
                    </w:rPr>
                    <w:t>原新疆维吾尔自治区环境保护厅</w:t>
                  </w:r>
                  <w:r>
                    <w:rPr>
                      <w:rFonts w:hint="eastAsia"/>
                      <w:color w:val="auto"/>
                      <w:lang w:eastAsia="zh-CN"/>
                    </w:rPr>
                    <w:t>；</w:t>
                  </w:r>
                </w:p>
                <w:p>
                  <w:pPr>
                    <w:pStyle w:val="35"/>
                    <w:bidi w:val="0"/>
                    <w:rPr>
                      <w:rFonts w:hint="eastAsia" w:eastAsia="宋体"/>
                      <w:color w:val="auto"/>
                      <w:lang w:eastAsia="zh-CN"/>
                    </w:rPr>
                  </w:pPr>
                  <w:r>
                    <w:rPr>
                      <w:color w:val="auto"/>
                    </w:rPr>
                    <w:t>新环函</w:t>
                  </w:r>
                  <w:r>
                    <w:rPr>
                      <w:rFonts w:hint="eastAsia"/>
                      <w:color w:val="auto"/>
                    </w:rPr>
                    <w:t>〔</w:t>
                  </w:r>
                  <w:r>
                    <w:rPr>
                      <w:color w:val="auto"/>
                    </w:rPr>
                    <w:t>2014</w:t>
                  </w:r>
                  <w:r>
                    <w:rPr>
                      <w:rFonts w:hint="eastAsia"/>
                      <w:color w:val="auto"/>
                    </w:rPr>
                    <w:t>〕</w:t>
                  </w:r>
                  <w:r>
                    <w:rPr>
                      <w:color w:val="auto"/>
                    </w:rPr>
                    <w:t>191号</w:t>
                  </w:r>
                  <w:r>
                    <w:rPr>
                      <w:rFonts w:hint="eastAsia"/>
                      <w:color w:val="auto"/>
                      <w:lang w:eastAsia="zh-CN"/>
                    </w:rPr>
                    <w:t>；</w:t>
                  </w:r>
                </w:p>
                <w:p>
                  <w:pPr>
                    <w:pStyle w:val="35"/>
                    <w:bidi w:val="0"/>
                    <w:rPr>
                      <w:rFonts w:hint="eastAsia"/>
                      <w:color w:val="auto"/>
                    </w:rPr>
                  </w:pPr>
                  <w:r>
                    <w:rPr>
                      <w:color w:val="auto"/>
                    </w:rPr>
                    <w:t>2014年2月21日</w:t>
                  </w:r>
                </w:p>
              </w:tc>
              <w:tc>
                <w:tcPr>
                  <w:tcW w:w="1567" w:type="pct"/>
                  <w:vAlign w:val="center"/>
                </w:tcPr>
                <w:p>
                  <w:pPr>
                    <w:pStyle w:val="35"/>
                    <w:bidi w:val="0"/>
                    <w:rPr>
                      <w:rFonts w:hint="eastAsia"/>
                      <w:color w:val="auto"/>
                    </w:rPr>
                  </w:pPr>
                  <w:r>
                    <w:rPr>
                      <w:color w:val="auto"/>
                    </w:rPr>
                    <w:t>原新疆维吾尔自治区环境保护厅</w:t>
                  </w:r>
                </w:p>
                <w:p>
                  <w:pPr>
                    <w:pStyle w:val="35"/>
                    <w:bidi w:val="0"/>
                    <w:rPr>
                      <w:rFonts w:hint="eastAsia"/>
                      <w:color w:val="auto"/>
                    </w:rPr>
                  </w:pPr>
                  <w:r>
                    <w:rPr>
                      <w:color w:val="auto"/>
                    </w:rPr>
                    <w:t>新环函</w:t>
                  </w:r>
                  <w:r>
                    <w:rPr>
                      <w:rFonts w:hint="eastAsia"/>
                      <w:color w:val="auto"/>
                    </w:rPr>
                    <w:t>〔</w:t>
                  </w:r>
                  <w:r>
                    <w:rPr>
                      <w:color w:val="auto"/>
                    </w:rPr>
                    <w:t>2015</w:t>
                  </w:r>
                  <w:r>
                    <w:rPr>
                      <w:rFonts w:hint="eastAsia"/>
                      <w:color w:val="auto"/>
                    </w:rPr>
                    <w:t>〕</w:t>
                  </w:r>
                  <w:r>
                    <w:rPr>
                      <w:color w:val="auto"/>
                    </w:rPr>
                    <w:t>1155号</w:t>
                  </w:r>
                </w:p>
                <w:p>
                  <w:pPr>
                    <w:pStyle w:val="35"/>
                    <w:bidi w:val="0"/>
                    <w:rPr>
                      <w:rFonts w:hint="eastAsia"/>
                      <w:color w:val="auto"/>
                    </w:rPr>
                  </w:pPr>
                  <w:r>
                    <w:rPr>
                      <w:color w:val="auto"/>
                    </w:rPr>
                    <w:t>2015年10月28日</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418" w:type="pct"/>
                  <w:vAlign w:val="center"/>
                </w:tcPr>
                <w:p>
                  <w:pPr>
                    <w:pStyle w:val="35"/>
                    <w:bidi w:val="0"/>
                    <w:rPr>
                      <w:rFonts w:hint="eastAsia"/>
                      <w:color w:val="auto"/>
                    </w:rPr>
                  </w:pPr>
                  <w:r>
                    <w:rPr>
                      <w:rFonts w:hint="eastAsia"/>
                      <w:color w:val="auto"/>
                    </w:rPr>
                    <w:t>3</w:t>
                  </w:r>
                </w:p>
              </w:tc>
              <w:tc>
                <w:tcPr>
                  <w:tcW w:w="1321" w:type="pct"/>
                  <w:tcBorders>
                    <w:left w:val="single" w:color="auto" w:sz="4" w:space="0"/>
                  </w:tcBorders>
                  <w:vAlign w:val="center"/>
                </w:tcPr>
                <w:p>
                  <w:pPr>
                    <w:pStyle w:val="35"/>
                    <w:bidi w:val="0"/>
                    <w:rPr>
                      <w:rFonts w:hint="eastAsia"/>
                      <w:color w:val="auto"/>
                    </w:rPr>
                  </w:pPr>
                  <w:r>
                    <w:rPr>
                      <w:rFonts w:hint="eastAsia"/>
                      <w:color w:val="auto"/>
                    </w:rPr>
                    <w:t>石西油田作业区2</w:t>
                  </w:r>
                  <w:r>
                    <w:rPr>
                      <w:color w:val="auto"/>
                    </w:rPr>
                    <w:t>010</w:t>
                  </w:r>
                  <w:r>
                    <w:rPr>
                      <w:rFonts w:hint="eastAsia"/>
                      <w:color w:val="auto"/>
                    </w:rPr>
                    <w:t>年～2</w:t>
                  </w:r>
                  <w:r>
                    <w:rPr>
                      <w:color w:val="auto"/>
                    </w:rPr>
                    <w:t>019</w:t>
                  </w:r>
                  <w:r>
                    <w:rPr>
                      <w:rFonts w:hint="eastAsia"/>
                      <w:color w:val="auto"/>
                    </w:rPr>
                    <w:t>年环境影响后评价报告书</w:t>
                  </w:r>
                </w:p>
              </w:tc>
              <w:tc>
                <w:tcPr>
                  <w:tcW w:w="1694" w:type="pct"/>
                  <w:vAlign w:val="center"/>
                </w:tcPr>
                <w:p>
                  <w:pPr>
                    <w:pStyle w:val="35"/>
                    <w:bidi w:val="0"/>
                    <w:rPr>
                      <w:rFonts w:hint="eastAsia" w:eastAsia="宋体"/>
                      <w:color w:val="auto"/>
                      <w:lang w:eastAsia="zh-CN"/>
                    </w:rPr>
                  </w:pPr>
                  <w:r>
                    <w:rPr>
                      <w:rFonts w:hint="eastAsia"/>
                      <w:color w:val="auto"/>
                    </w:rPr>
                    <w:t>新疆维吾尔自治区生态环境厅</w:t>
                  </w:r>
                  <w:r>
                    <w:rPr>
                      <w:rFonts w:hint="eastAsia"/>
                      <w:color w:val="auto"/>
                      <w:lang w:eastAsia="zh-CN"/>
                    </w:rPr>
                    <w:t>；</w:t>
                  </w:r>
                </w:p>
                <w:p>
                  <w:pPr>
                    <w:pStyle w:val="35"/>
                    <w:bidi w:val="0"/>
                    <w:rPr>
                      <w:rFonts w:hint="eastAsia" w:eastAsia="宋体"/>
                      <w:color w:val="auto"/>
                      <w:lang w:eastAsia="zh-CN"/>
                    </w:rPr>
                  </w:pPr>
                  <w:r>
                    <w:rPr>
                      <w:color w:val="auto"/>
                    </w:rPr>
                    <w:t>新环</w:t>
                  </w:r>
                  <w:r>
                    <w:rPr>
                      <w:rFonts w:hint="eastAsia"/>
                      <w:color w:val="auto"/>
                    </w:rPr>
                    <w:t>环评</w:t>
                  </w:r>
                  <w:r>
                    <w:rPr>
                      <w:color w:val="auto"/>
                    </w:rPr>
                    <w:t>函</w:t>
                  </w:r>
                  <w:r>
                    <w:rPr>
                      <w:rFonts w:hint="eastAsia"/>
                      <w:color w:val="auto"/>
                    </w:rPr>
                    <w:t>〔</w:t>
                  </w:r>
                  <w:r>
                    <w:rPr>
                      <w:color w:val="auto"/>
                    </w:rPr>
                    <w:t>2021</w:t>
                  </w:r>
                  <w:r>
                    <w:rPr>
                      <w:rFonts w:hint="eastAsia"/>
                      <w:color w:val="auto"/>
                    </w:rPr>
                    <w:t>〕</w:t>
                  </w:r>
                  <w:r>
                    <w:rPr>
                      <w:color w:val="auto"/>
                    </w:rPr>
                    <w:t>240号</w:t>
                  </w:r>
                  <w:r>
                    <w:rPr>
                      <w:rFonts w:hint="eastAsia"/>
                      <w:color w:val="auto"/>
                      <w:lang w:eastAsia="zh-CN"/>
                    </w:rPr>
                    <w:t>；</w:t>
                  </w:r>
                </w:p>
                <w:p>
                  <w:pPr>
                    <w:pStyle w:val="35"/>
                    <w:bidi w:val="0"/>
                    <w:rPr>
                      <w:rFonts w:hint="eastAsia"/>
                      <w:color w:val="auto"/>
                    </w:rPr>
                  </w:pPr>
                  <w:r>
                    <w:rPr>
                      <w:color w:val="auto"/>
                    </w:rPr>
                    <w:t>2014年2月21日</w:t>
                  </w:r>
                </w:p>
              </w:tc>
              <w:tc>
                <w:tcPr>
                  <w:tcW w:w="1567" w:type="pct"/>
                  <w:vAlign w:val="center"/>
                </w:tcPr>
                <w:p>
                  <w:pPr>
                    <w:pStyle w:val="35"/>
                    <w:bidi w:val="0"/>
                    <w:rPr>
                      <w:rFonts w:hint="eastAsia"/>
                      <w:color w:val="auto"/>
                    </w:rPr>
                  </w:pPr>
                  <w:r>
                    <w:rPr>
                      <w:rFonts w:hint="eastAsia"/>
                      <w:color w:val="auto"/>
                    </w:rPr>
                    <w:t>/</w:t>
                  </w:r>
                </w:p>
              </w:tc>
            </w:tr>
          </w:tbl>
          <w:p>
            <w:pPr>
              <w:adjustRightInd w:val="0"/>
              <w:snapToGrid w:val="0"/>
              <w:spacing w:line="50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石西集中处理站建设于1998年，是集原油处理、采出水处理、清水处理及油田注水为一体的集中处理站。</w:t>
            </w:r>
          </w:p>
          <w:p>
            <w:pPr>
              <w:pStyle w:val="10"/>
              <w:bidi w:val="0"/>
              <w:rPr>
                <w:rFonts w:hint="default"/>
                <w:color w:val="auto"/>
              </w:rPr>
            </w:pPr>
            <w:bookmarkStart w:id="117" w:name="_Hlk140833975"/>
            <w:r>
              <w:rPr>
                <w:rFonts w:hint="default"/>
                <w:color w:val="auto"/>
              </w:rPr>
              <w:t>石西</w:t>
            </w:r>
            <w:bookmarkStart w:id="118" w:name="OLE_LINK31"/>
            <w:r>
              <w:rPr>
                <w:rFonts w:hint="default"/>
                <w:color w:val="auto"/>
              </w:rPr>
              <w:t>集中处理站采出水处理系统采用“重力</w:t>
            </w:r>
            <w:bookmarkEnd w:id="118"/>
            <w:r>
              <w:rPr>
                <w:rFonts w:hint="default"/>
                <w:color w:val="auto"/>
              </w:rPr>
              <w:t>除油+混凝沉淀+过滤”的处理工艺，出水水质满足《碎屑岩油藏注水水质指标技术要求及分析方法》（SY/T5329-2022）相关要求后，回注地层，不外排。该系统设计处理能力为2600m</w:t>
            </w:r>
            <w:r>
              <w:rPr>
                <w:rFonts w:hint="default"/>
                <w:color w:val="auto"/>
                <w:vertAlign w:val="superscript"/>
              </w:rPr>
              <w:t>3</w:t>
            </w:r>
            <w:r>
              <w:rPr>
                <w:rFonts w:hint="default"/>
                <w:color w:val="auto"/>
              </w:rPr>
              <w:t>/d，目前采出水实际处理规模2300m</w:t>
            </w:r>
            <w:r>
              <w:rPr>
                <w:rFonts w:hint="default"/>
                <w:color w:val="auto"/>
                <w:vertAlign w:val="superscript"/>
              </w:rPr>
              <w:t>3</w:t>
            </w:r>
            <w:r>
              <w:rPr>
                <w:rFonts w:hint="default"/>
                <w:color w:val="auto"/>
              </w:rPr>
              <w:t>/d，富余量为300m</w:t>
            </w:r>
            <w:r>
              <w:rPr>
                <w:rFonts w:hint="default"/>
                <w:color w:val="auto"/>
                <w:vertAlign w:val="superscript"/>
              </w:rPr>
              <w:t>3</w:t>
            </w:r>
            <w:r>
              <w:rPr>
                <w:rFonts w:hint="default"/>
                <w:color w:val="auto"/>
              </w:rPr>
              <w:t>/d。</w:t>
            </w:r>
          </w:p>
          <w:p>
            <w:pPr>
              <w:pStyle w:val="10"/>
              <w:bidi w:val="0"/>
              <w:rPr>
                <w:rFonts w:hint="default"/>
                <w:color w:val="auto"/>
              </w:rPr>
            </w:pPr>
            <w:r>
              <w:rPr>
                <w:rFonts w:hint="default"/>
                <w:color w:val="auto"/>
                <w:lang w:val="en-US" w:eastAsia="zh-CN"/>
              </w:rPr>
              <w:t>本项目</w:t>
            </w:r>
            <w:r>
              <w:rPr>
                <w:rFonts w:hint="default"/>
                <w:color w:val="auto"/>
              </w:rPr>
              <w:t>洗井废水产生量为</w:t>
            </w:r>
            <w:r>
              <w:rPr>
                <w:rFonts w:hint="eastAsia"/>
                <w:color w:val="auto"/>
                <w:lang w:val="en-US" w:eastAsia="zh-CN"/>
              </w:rPr>
              <w:t>21.9</w:t>
            </w:r>
            <w:r>
              <w:rPr>
                <w:rFonts w:hint="default"/>
                <w:color w:val="auto"/>
              </w:rPr>
              <w:t>m</w:t>
            </w:r>
            <w:r>
              <w:rPr>
                <w:rFonts w:hint="default"/>
                <w:color w:val="auto"/>
                <w:vertAlign w:val="superscript"/>
              </w:rPr>
              <w:t>3</w:t>
            </w:r>
            <w:r>
              <w:rPr>
                <w:rFonts w:hint="default"/>
                <w:color w:val="auto"/>
              </w:rPr>
              <w:t>/d（</w:t>
            </w:r>
            <w:r>
              <w:rPr>
                <w:rFonts w:hint="default"/>
                <w:color w:val="auto"/>
                <w:lang w:val="en-US" w:eastAsia="zh-CN"/>
              </w:rPr>
              <w:t>总量</w:t>
            </w:r>
            <w:r>
              <w:rPr>
                <w:rFonts w:hint="default"/>
                <w:color w:val="auto"/>
              </w:rPr>
              <w:t>为</w:t>
            </w:r>
            <w:r>
              <w:rPr>
                <w:rFonts w:hint="eastAsia"/>
                <w:color w:val="auto"/>
                <w:lang w:val="en-US" w:eastAsia="zh-CN"/>
              </w:rPr>
              <w:t>285</w:t>
            </w:r>
            <w:r>
              <w:rPr>
                <w:rFonts w:hint="default"/>
                <w:color w:val="auto"/>
              </w:rPr>
              <w:t>m</w:t>
            </w:r>
            <w:r>
              <w:rPr>
                <w:rFonts w:hint="default"/>
                <w:color w:val="auto"/>
                <w:vertAlign w:val="superscript"/>
              </w:rPr>
              <w:t>3</w:t>
            </w:r>
            <w:r>
              <w:rPr>
                <w:rFonts w:hint="default"/>
                <w:color w:val="auto"/>
                <w:lang w:eastAsia="zh-CN"/>
              </w:rPr>
              <w:t>，</w:t>
            </w:r>
            <w:r>
              <w:rPr>
                <w:rFonts w:hint="default"/>
                <w:color w:val="auto"/>
                <w:lang w:val="en-US" w:eastAsia="zh-CN"/>
              </w:rPr>
              <w:t>按</w:t>
            </w:r>
            <w:r>
              <w:rPr>
                <w:rFonts w:hint="eastAsia"/>
                <w:color w:val="auto"/>
                <w:lang w:val="en-US" w:eastAsia="zh-CN"/>
              </w:rPr>
              <w:t>洗井周期共</w:t>
            </w:r>
            <w:r>
              <w:rPr>
                <w:rFonts w:hint="default"/>
                <w:color w:val="auto"/>
                <w:lang w:val="en-US" w:eastAsia="zh-CN"/>
              </w:rPr>
              <w:t>1</w:t>
            </w:r>
            <w:r>
              <w:rPr>
                <w:rFonts w:hint="eastAsia"/>
                <w:color w:val="auto"/>
                <w:lang w:val="en-US" w:eastAsia="zh-CN"/>
              </w:rPr>
              <w:t>3d</w:t>
            </w:r>
            <w:r>
              <w:rPr>
                <w:rFonts w:hint="default"/>
                <w:color w:val="auto"/>
                <w:lang w:val="en-US" w:eastAsia="zh-CN"/>
              </w:rPr>
              <w:t>计</w:t>
            </w:r>
            <w:r>
              <w:rPr>
                <w:rFonts w:hint="default"/>
                <w:color w:val="auto"/>
              </w:rPr>
              <w:t>）、压裂返排液产生量约</w:t>
            </w:r>
            <w:r>
              <w:rPr>
                <w:rFonts w:hint="eastAsia" w:ascii="Times New Roman" w:hAnsi="Times New Roman" w:cs="Times New Roman" w:eastAsiaTheme="minorEastAsia"/>
                <w:color w:val="auto"/>
                <w:spacing w:val="0"/>
                <w:sz w:val="24"/>
                <w:lang w:val="en-US" w:eastAsia="zh-CN"/>
              </w:rPr>
              <w:t>38.5</w:t>
            </w:r>
            <w:r>
              <w:rPr>
                <w:rFonts w:hint="default"/>
                <w:color w:val="auto"/>
              </w:rPr>
              <w:t>m</w:t>
            </w:r>
            <w:r>
              <w:rPr>
                <w:rFonts w:hint="default"/>
                <w:color w:val="auto"/>
                <w:vertAlign w:val="superscript"/>
              </w:rPr>
              <w:t>3</w:t>
            </w:r>
            <w:r>
              <w:rPr>
                <w:rFonts w:hint="default"/>
                <w:color w:val="auto"/>
              </w:rPr>
              <w:t>/d（</w:t>
            </w:r>
            <w:r>
              <w:rPr>
                <w:rFonts w:hint="default"/>
                <w:color w:val="auto"/>
                <w:lang w:val="en-US" w:eastAsia="zh-CN"/>
              </w:rPr>
              <w:t>总量</w:t>
            </w:r>
            <w:r>
              <w:rPr>
                <w:rFonts w:hint="default"/>
                <w:color w:val="auto"/>
              </w:rPr>
              <w:t>为500m</w:t>
            </w:r>
            <w:r>
              <w:rPr>
                <w:rFonts w:hint="default"/>
                <w:color w:val="auto"/>
                <w:vertAlign w:val="superscript"/>
              </w:rPr>
              <w:t>3</w:t>
            </w:r>
            <w:r>
              <w:rPr>
                <w:rFonts w:hint="default"/>
                <w:color w:val="auto"/>
                <w:lang w:eastAsia="zh-CN"/>
              </w:rPr>
              <w:t>，</w:t>
            </w:r>
            <w:r>
              <w:rPr>
                <w:rFonts w:hint="default"/>
                <w:color w:val="auto"/>
                <w:lang w:val="en-US" w:eastAsia="zh-CN"/>
              </w:rPr>
              <w:t>按</w:t>
            </w:r>
            <w:r>
              <w:rPr>
                <w:rFonts w:hint="eastAsia"/>
                <w:color w:val="auto"/>
                <w:lang w:val="en-US" w:eastAsia="zh-CN"/>
              </w:rPr>
              <w:t>压裂返排周期共13</w:t>
            </w:r>
            <w:r>
              <w:rPr>
                <w:rFonts w:hint="default"/>
                <w:color w:val="auto"/>
                <w:lang w:val="en-US" w:eastAsia="zh-CN"/>
              </w:rPr>
              <w:t>d计</w:t>
            </w:r>
            <w:r>
              <w:rPr>
                <w:rFonts w:hint="default"/>
                <w:color w:val="auto"/>
              </w:rPr>
              <w:t>）</w:t>
            </w:r>
            <w:r>
              <w:rPr>
                <w:rFonts w:hint="eastAsia"/>
                <w:color w:val="auto"/>
                <w:lang w:val="en-US" w:eastAsia="zh-CN"/>
              </w:rPr>
              <w:t>；每天拉运一次，拉运量约60m</w:t>
            </w:r>
            <w:r>
              <w:rPr>
                <w:rFonts w:hint="eastAsia"/>
                <w:color w:val="auto"/>
                <w:vertAlign w:val="superscript"/>
                <w:lang w:val="en-US" w:eastAsia="zh-CN"/>
              </w:rPr>
              <w:t>3</w:t>
            </w:r>
            <w:r>
              <w:rPr>
                <w:rFonts w:hint="eastAsia"/>
                <w:color w:val="auto"/>
                <w:vertAlign w:val="baseline"/>
                <w:lang w:val="en-US" w:eastAsia="zh-CN"/>
              </w:rPr>
              <w:t>，</w:t>
            </w:r>
            <w:r>
              <w:rPr>
                <w:rFonts w:hint="default"/>
                <w:color w:val="auto"/>
              </w:rPr>
              <w:t>石西集中处理站采出水处理系统处理工艺和剩余处理规模均可满足本</w:t>
            </w:r>
            <w:r>
              <w:rPr>
                <w:rFonts w:hint="eastAsia"/>
                <w:color w:val="auto"/>
                <w:lang w:val="en-US" w:eastAsia="zh-CN"/>
              </w:rPr>
              <w:t>项目</w:t>
            </w:r>
            <w:r>
              <w:rPr>
                <w:rFonts w:hint="default"/>
                <w:color w:val="auto"/>
              </w:rPr>
              <w:t>试油废水处理需要，依托可行。</w:t>
            </w:r>
            <w:bookmarkEnd w:id="117"/>
          </w:p>
          <w:p>
            <w:pPr>
              <w:adjustRightInd w:val="0"/>
              <w:snapToGrid w:val="0"/>
              <w:spacing w:line="50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（3）管理措施</w:t>
            </w:r>
          </w:p>
          <w:p>
            <w:pPr>
              <w:adjustRightInd w:val="0"/>
              <w:snapToGrid w:val="0"/>
              <w:spacing w:line="50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①洗井废水、废压裂液和生活污水应建立台账管理制度，并实施全过程管理，记录废水的产生量、转移量及去向等。</w:t>
            </w:r>
          </w:p>
          <w:p>
            <w:pPr>
              <w:adjustRightInd w:val="0"/>
              <w:snapToGrid w:val="0"/>
              <w:spacing w:line="500" w:lineRule="exact"/>
              <w:ind w:firstLine="480" w:firstLineChars="200"/>
              <w:rPr>
                <w:rFonts w:hint="default" w:ascii="Times New Roman" w:hAnsi="Times New Roman" w:cs="Times New Roman"/>
                <w:color w:val="auto"/>
                <w:kern w:val="0"/>
              </w:rPr>
            </w:pPr>
            <w:r>
              <w:rPr>
                <w:rFonts w:hint="default" w:ascii="Times New Roman" w:hAnsi="Times New Roman" w:cs="Times New Roman"/>
                <w:color w:val="auto"/>
              </w:rPr>
              <w:t>②</w:t>
            </w:r>
            <w:r>
              <w:rPr>
                <w:rFonts w:hint="default" w:ascii="Times New Roman" w:hAnsi="Times New Roman" w:cs="Times New Roman"/>
                <w:color w:val="auto"/>
                <w:kern w:val="0"/>
              </w:rPr>
              <w:t>加工施工单位和运输车辆的管理，严禁废水随意排放或倾倒。</w:t>
            </w:r>
          </w:p>
          <w:p>
            <w:pPr>
              <w:adjustRightInd w:val="0"/>
              <w:snapToGrid w:val="0"/>
              <w:spacing w:line="50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③压裂优先选用无毒、低毒的环境友好型压裂液。</w:t>
            </w:r>
          </w:p>
          <w:p>
            <w:pPr>
              <w:adjustRightInd w:val="0"/>
              <w:snapToGrid w:val="0"/>
              <w:spacing w:line="50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④</w:t>
            </w:r>
            <w:bookmarkStart w:id="119" w:name="OLE_LINK128"/>
            <w:r>
              <w:rPr>
                <w:rFonts w:hint="default" w:ascii="Times New Roman" w:hAnsi="Times New Roman" w:cs="Times New Roman"/>
                <w:color w:val="auto"/>
              </w:rPr>
              <w:t>新钻井的设计、建造应按照相关要求以满足采油井的完整性：具体如下：油井套管技术状况合格，按</w:t>
            </w:r>
            <w:bookmarkStart w:id="120" w:name="OLE_LINK127"/>
            <w:r>
              <w:rPr>
                <w:rFonts w:hint="default" w:ascii="Times New Roman" w:hAnsi="Times New Roman" w:cs="Times New Roman"/>
                <w:color w:val="auto"/>
              </w:rPr>
              <w:t>《套管柱试压规范》（SY/T5467</w:t>
            </w:r>
            <w:bookmarkEnd w:id="120"/>
            <w:r>
              <w:rPr>
                <w:rFonts w:hint="default" w:ascii="Times New Roman" w:hAnsi="Times New Roman" w:cs="Times New Roman"/>
                <w:color w:val="auto"/>
              </w:rPr>
              <w:t>-2007）的要求进行套管试压；表层套管、技术套管、生产套管固井水泥应返至地面，固井质量合格；井口装置结构完整、密封良好，压力级别满足要求，材质满足防腐要求。</w:t>
            </w:r>
          </w:p>
          <w:bookmarkEnd w:id="119"/>
          <w:p>
            <w:pPr>
              <w:widowControl/>
              <w:tabs>
                <w:tab w:val="left" w:pos="4584"/>
              </w:tabs>
              <w:adjustRightInd w:val="0"/>
              <w:snapToGrid w:val="0"/>
              <w:spacing w:line="500" w:lineRule="exact"/>
              <w:ind w:firstLine="480" w:firstLineChars="200"/>
              <w:rPr>
                <w:rFonts w:hint="default" w:ascii="Times New Roman" w:hAnsi="Times New Roman" w:cs="Times New Roman"/>
                <w:bCs/>
                <w:color w:val="auto"/>
                <w:lang w:bidi="zh-CN"/>
              </w:rPr>
            </w:pPr>
            <w:r>
              <w:rPr>
                <w:rFonts w:hint="default" w:ascii="Times New Roman" w:hAnsi="Times New Roman" w:cs="Times New Roman"/>
                <w:color w:val="auto"/>
              </w:rPr>
              <w:t>采取上述措施后，施工期产生的废水得到妥善处置，不会对地表水环境产生不利影响。</w:t>
            </w:r>
          </w:p>
          <w:bookmarkEnd w:id="112"/>
          <w:p>
            <w:pPr>
              <w:pStyle w:val="54"/>
              <w:numPr>
                <w:ilvl w:val="0"/>
                <w:numId w:val="9"/>
              </w:numPr>
              <w:bidi w:val="0"/>
              <w:ind w:left="9" w:leftChars="0" w:firstLineChars="0"/>
              <w:rPr>
                <w:rFonts w:hint="default"/>
                <w:color w:val="auto"/>
              </w:rPr>
            </w:pPr>
            <w:r>
              <w:rPr>
                <w:rFonts w:hint="default"/>
                <w:color w:val="auto"/>
              </w:rPr>
              <w:t>地下水和土壤环境保护措施</w:t>
            </w:r>
          </w:p>
          <w:p>
            <w:pPr>
              <w:widowControl/>
              <w:tabs>
                <w:tab w:val="left" w:pos="4584"/>
              </w:tabs>
              <w:adjustRightInd w:val="0"/>
              <w:snapToGrid w:val="0"/>
              <w:spacing w:line="500" w:lineRule="exact"/>
              <w:ind w:firstLine="464" w:firstLineChars="200"/>
              <w:rPr>
                <w:rFonts w:hint="default" w:ascii="Times New Roman" w:hAnsi="Times New Roman" w:eastAsia="宋体" w:cs="Times New Roman"/>
                <w:color w:val="auto"/>
                <w:spacing w:val="-4"/>
                <w:lang w:val="en-US" w:eastAsia="zh-CN"/>
              </w:rPr>
            </w:pPr>
            <w:r>
              <w:rPr>
                <w:rFonts w:hint="default" w:ascii="Times New Roman" w:hAnsi="Times New Roman" w:cs="Times New Roman"/>
                <w:color w:val="auto"/>
                <w:spacing w:val="-4"/>
              </w:rPr>
              <w:t>（1）</w:t>
            </w:r>
            <w:r>
              <w:rPr>
                <w:rFonts w:hint="default" w:ascii="Times New Roman" w:hAnsi="Times New Roman" w:cs="Times New Roman"/>
                <w:color w:val="auto"/>
                <w:spacing w:val="-4"/>
                <w:lang w:val="en-US" w:eastAsia="zh-CN"/>
              </w:rPr>
              <w:t>分区防渗</w:t>
            </w:r>
          </w:p>
          <w:p>
            <w:pPr>
              <w:pStyle w:val="10"/>
              <w:bidi w:val="0"/>
              <w:rPr>
                <w:rFonts w:hint="default" w:ascii="Times New Roman" w:hAnsi="Times New Roman" w:eastAsia="宋体" w:cs="Times New Roman"/>
                <w:color w:val="auto"/>
                <w:spacing w:val="0"/>
                <w:kern w:val="0"/>
                <w:sz w:val="24"/>
              </w:rPr>
            </w:pPr>
            <w:r>
              <w:rPr>
                <w:rFonts w:hint="default" w:ascii="Times New Roman" w:hAnsi="Times New Roman" w:eastAsia="宋体" w:cs="Times New Roman"/>
                <w:color w:val="auto"/>
                <w:spacing w:val="0"/>
                <w:kern w:val="0"/>
                <w:sz w:val="24"/>
              </w:rPr>
              <w:t>施工期间钻井井场分为重点防渗区、一般防渗区和简单防渗区。其中柴油储罐、发电房、废料场、不落地系统、钻井液储罐区、岩屑储罐区、钻井井口、危险废物贮存点和应急放喷池（应急放喷池仅在事故状态下开挖）区域为重点防渗区，均铺设</w:t>
            </w:r>
            <w:r>
              <w:rPr>
                <w:rFonts w:hint="eastAsia" w:cs="Times New Roman"/>
                <w:color w:val="auto"/>
                <w:spacing w:val="0"/>
                <w:kern w:val="0"/>
                <w:sz w:val="24"/>
                <w:lang w:val="en-US" w:eastAsia="zh-CN"/>
              </w:rPr>
              <w:t>2mm厚的</w:t>
            </w:r>
            <w:r>
              <w:rPr>
                <w:rFonts w:hint="default" w:ascii="Times New Roman" w:hAnsi="Times New Roman" w:eastAsia="宋体" w:cs="Times New Roman"/>
                <w:color w:val="auto"/>
                <w:spacing w:val="0"/>
                <w:kern w:val="0"/>
                <w:sz w:val="24"/>
              </w:rPr>
              <w:t>HDPE防渗膜（渗透系数不大于10</w:t>
            </w:r>
            <w:r>
              <w:rPr>
                <w:rFonts w:hint="default" w:ascii="Times New Roman" w:hAnsi="Times New Roman" w:eastAsia="宋体" w:cs="Times New Roman"/>
                <w:color w:val="auto"/>
                <w:spacing w:val="0"/>
                <w:kern w:val="0"/>
                <w:sz w:val="24"/>
                <w:vertAlign w:val="superscript"/>
              </w:rPr>
              <w:t>-10</w:t>
            </w:r>
            <w:r>
              <w:rPr>
                <w:rFonts w:hint="default" w:ascii="Times New Roman" w:hAnsi="Times New Roman" w:eastAsia="宋体" w:cs="Times New Roman"/>
                <w:color w:val="auto"/>
                <w:spacing w:val="0"/>
                <w:kern w:val="0"/>
                <w:sz w:val="24"/>
              </w:rPr>
              <w:t>cm/s）或者采取铺设渗透系数不大于10</w:t>
            </w:r>
            <w:r>
              <w:rPr>
                <w:rFonts w:hint="default" w:ascii="Times New Roman" w:hAnsi="Times New Roman" w:eastAsia="宋体" w:cs="Times New Roman"/>
                <w:color w:val="auto"/>
                <w:spacing w:val="0"/>
                <w:kern w:val="0"/>
                <w:sz w:val="24"/>
                <w:vertAlign w:val="superscript"/>
              </w:rPr>
              <w:t>-10</w:t>
            </w:r>
            <w:r>
              <w:rPr>
                <w:rFonts w:hint="default" w:ascii="Times New Roman" w:hAnsi="Times New Roman" w:eastAsia="宋体" w:cs="Times New Roman"/>
                <w:color w:val="auto"/>
                <w:spacing w:val="0"/>
                <w:kern w:val="0"/>
                <w:sz w:val="24"/>
              </w:rPr>
              <w:t>cm/s的其他人工材料的防渗措施；化工爬犁、材料爬犁、材料房和生活污水收集池区域为一般防渗区，铺设HDPE防渗膜（等效黏土防渗层Mb≥1.5m，K≤1×10</w:t>
            </w:r>
            <w:r>
              <w:rPr>
                <w:rFonts w:hint="default" w:ascii="Times New Roman" w:hAnsi="Times New Roman" w:eastAsia="宋体" w:cs="Times New Roman"/>
                <w:color w:val="auto"/>
                <w:spacing w:val="0"/>
                <w:kern w:val="0"/>
                <w:sz w:val="24"/>
                <w:vertAlign w:val="superscript"/>
              </w:rPr>
              <w:t>-7</w:t>
            </w:r>
            <w:r>
              <w:rPr>
                <w:rFonts w:hint="default" w:ascii="Times New Roman" w:hAnsi="Times New Roman" w:eastAsia="宋体" w:cs="Times New Roman"/>
                <w:color w:val="auto"/>
                <w:spacing w:val="0"/>
                <w:kern w:val="0"/>
                <w:sz w:val="24"/>
              </w:rPr>
              <w:t>cm/s）；水罐区、地质房、录井房和值班房等其他区域为简单防渗区。</w:t>
            </w:r>
          </w:p>
          <w:p>
            <w:pPr>
              <w:keepNext w:val="0"/>
              <w:keepLines w:val="0"/>
              <w:pageBreakBefore w:val="0"/>
              <w:widowControl/>
              <w:tabs>
                <w:tab w:val="left" w:pos="4584"/>
              </w:tabs>
              <w:kinsoku/>
              <w:wordWrap/>
              <w:overflowPunct/>
              <w:topLinePunct w:val="0"/>
              <w:autoSpaceDE/>
              <w:autoSpaceDN/>
              <w:bidi w:val="0"/>
              <w:adjustRightInd w:val="0"/>
              <w:snapToGrid w:val="0"/>
              <w:spacing w:line="500" w:lineRule="exact"/>
              <w:ind w:firstLine="480" w:firstLineChars="200"/>
              <w:textAlignment w:val="auto"/>
              <w:rPr>
                <w:rFonts w:hint="default" w:ascii="Times New Roman" w:hAnsi="Times New Roman" w:eastAsia="宋体" w:cs="Times New Roman"/>
                <w:color w:val="auto"/>
                <w:spacing w:val="0"/>
                <w:kern w:val="0"/>
                <w:sz w:val="24"/>
              </w:rPr>
            </w:pPr>
            <w:r>
              <w:rPr>
                <w:rFonts w:hint="default" w:ascii="Times New Roman" w:hAnsi="Times New Roman" w:eastAsia="宋体" w:cs="Times New Roman"/>
                <w:color w:val="auto"/>
                <w:spacing w:val="0"/>
                <w:kern w:val="0"/>
                <w:sz w:val="24"/>
              </w:rPr>
              <w:t>试油井场分为重点防渗区和简单防渗区。其中发电房、采出液储罐、试油废水罐</w:t>
            </w:r>
            <w:r>
              <w:rPr>
                <w:rFonts w:hint="eastAsia" w:eastAsia="宋体" w:cs="Times New Roman"/>
                <w:color w:val="auto"/>
                <w:spacing w:val="0"/>
                <w:kern w:val="0"/>
                <w:sz w:val="24"/>
                <w:lang w:eastAsia="zh-CN"/>
              </w:rPr>
              <w:t>、</w:t>
            </w:r>
            <w:r>
              <w:rPr>
                <w:rFonts w:hint="eastAsia" w:eastAsia="宋体" w:cs="Times New Roman"/>
                <w:color w:val="auto"/>
                <w:spacing w:val="0"/>
                <w:kern w:val="0"/>
                <w:sz w:val="24"/>
                <w:lang w:val="en-US" w:eastAsia="zh-CN"/>
              </w:rPr>
              <w:t>井口及</w:t>
            </w:r>
            <w:r>
              <w:rPr>
                <w:rFonts w:hint="default" w:ascii="Times New Roman" w:hAnsi="Times New Roman" w:eastAsia="宋体" w:cs="Times New Roman"/>
                <w:color w:val="auto"/>
                <w:spacing w:val="0"/>
                <w:kern w:val="0"/>
                <w:sz w:val="24"/>
              </w:rPr>
              <w:t>应急放喷池（应急放喷池仅在事故状态下开挖）为重点防渗区，铺设HDPE防渗膜（铺设HDPE防渗膜，渗透系数不大于10</w:t>
            </w:r>
            <w:r>
              <w:rPr>
                <w:rFonts w:hint="default" w:ascii="Times New Roman" w:hAnsi="Times New Roman" w:eastAsia="宋体" w:cs="Times New Roman"/>
                <w:color w:val="auto"/>
                <w:spacing w:val="0"/>
                <w:kern w:val="0"/>
                <w:sz w:val="24"/>
                <w:vertAlign w:val="superscript"/>
              </w:rPr>
              <w:t>-10</w:t>
            </w:r>
            <w:r>
              <w:rPr>
                <w:rFonts w:hint="default" w:ascii="Times New Roman" w:hAnsi="Times New Roman" w:eastAsia="宋体" w:cs="Times New Roman"/>
                <w:color w:val="auto"/>
                <w:spacing w:val="0"/>
                <w:kern w:val="0"/>
                <w:sz w:val="24"/>
              </w:rPr>
              <w:t>cm/s）或者采取铺设渗透系数不大于10</w:t>
            </w:r>
            <w:r>
              <w:rPr>
                <w:rFonts w:hint="default" w:ascii="Times New Roman" w:hAnsi="Times New Roman" w:eastAsia="宋体" w:cs="Times New Roman"/>
                <w:color w:val="auto"/>
                <w:spacing w:val="0"/>
                <w:kern w:val="0"/>
                <w:sz w:val="24"/>
                <w:vertAlign w:val="superscript"/>
              </w:rPr>
              <w:t>-10</w:t>
            </w:r>
            <w:r>
              <w:rPr>
                <w:rFonts w:hint="default" w:ascii="Times New Roman" w:hAnsi="Times New Roman" w:eastAsia="宋体" w:cs="Times New Roman"/>
                <w:color w:val="auto"/>
                <w:spacing w:val="0"/>
                <w:kern w:val="0"/>
                <w:sz w:val="24"/>
              </w:rPr>
              <w:t>cm/s的其他人工材料的防渗措施），值班房为简单防渗区。分区防渗情况详见</w:t>
            </w:r>
            <w:r>
              <w:rPr>
                <w:rFonts w:hint="eastAsia" w:ascii="Times New Roman" w:hAnsi="Times New Roman" w:eastAsia="宋体" w:cs="Times New Roman"/>
                <w:color w:val="auto"/>
                <w:spacing w:val="0"/>
                <w:kern w:val="0"/>
                <w:sz w:val="24"/>
                <w:lang w:val="en-US" w:eastAsia="zh-CN"/>
              </w:rPr>
              <w:t>表5-</w:t>
            </w:r>
            <w:r>
              <w:rPr>
                <w:rFonts w:hint="eastAsia" w:cs="Times New Roman"/>
                <w:color w:val="auto"/>
                <w:spacing w:val="0"/>
                <w:kern w:val="0"/>
                <w:sz w:val="24"/>
                <w:lang w:val="en-US" w:eastAsia="zh-CN"/>
              </w:rPr>
              <w:t>3</w:t>
            </w:r>
            <w:r>
              <w:rPr>
                <w:rFonts w:hint="default" w:ascii="Times New Roman" w:hAnsi="Times New Roman" w:eastAsia="宋体" w:cs="Times New Roman"/>
                <w:color w:val="auto"/>
                <w:spacing w:val="0"/>
                <w:kern w:val="0"/>
                <w:sz w:val="24"/>
              </w:rPr>
              <w:t>、</w:t>
            </w:r>
            <w:r>
              <w:rPr>
                <w:rFonts w:hint="default" w:ascii="Times New Roman" w:hAnsi="Times New Roman" w:eastAsia="宋体" w:cs="Times New Roman"/>
                <w:b/>
                <w:bCs/>
                <w:color w:val="auto"/>
                <w:spacing w:val="0"/>
                <w:kern w:val="0"/>
                <w:sz w:val="24"/>
              </w:rPr>
              <w:t>附图</w:t>
            </w:r>
            <w:r>
              <w:rPr>
                <w:rFonts w:hint="eastAsia" w:ascii="Times New Roman" w:hAnsi="Times New Roman" w:eastAsia="宋体" w:cs="Times New Roman"/>
                <w:b/>
                <w:bCs/>
                <w:color w:val="auto"/>
                <w:spacing w:val="0"/>
                <w:kern w:val="0"/>
                <w:sz w:val="24"/>
                <w:lang w:val="en-US" w:eastAsia="zh-CN"/>
              </w:rPr>
              <w:t>5</w:t>
            </w:r>
            <w:r>
              <w:rPr>
                <w:rFonts w:hint="default" w:ascii="Times New Roman" w:hAnsi="Times New Roman" w:eastAsia="宋体" w:cs="Times New Roman"/>
                <w:color w:val="auto"/>
                <w:spacing w:val="0"/>
                <w:kern w:val="0"/>
                <w:sz w:val="24"/>
              </w:rPr>
              <w:t>和</w:t>
            </w:r>
            <w:r>
              <w:rPr>
                <w:rFonts w:hint="default" w:ascii="Times New Roman" w:hAnsi="Times New Roman" w:eastAsia="宋体" w:cs="Times New Roman"/>
                <w:b/>
                <w:bCs/>
                <w:color w:val="auto"/>
                <w:spacing w:val="0"/>
                <w:kern w:val="0"/>
                <w:sz w:val="24"/>
              </w:rPr>
              <w:t>附图</w:t>
            </w:r>
            <w:r>
              <w:rPr>
                <w:rFonts w:hint="eastAsia" w:ascii="Times New Roman" w:hAnsi="Times New Roman" w:eastAsia="宋体" w:cs="Times New Roman"/>
                <w:b/>
                <w:bCs/>
                <w:color w:val="auto"/>
                <w:spacing w:val="0"/>
                <w:kern w:val="0"/>
                <w:sz w:val="24"/>
                <w:lang w:val="en-US" w:eastAsia="zh-CN"/>
              </w:rPr>
              <w:t>6</w:t>
            </w:r>
            <w:r>
              <w:rPr>
                <w:rFonts w:hint="default" w:ascii="Times New Roman" w:hAnsi="Times New Roman" w:eastAsia="宋体" w:cs="Times New Roman"/>
                <w:color w:val="auto"/>
                <w:spacing w:val="0"/>
                <w:kern w:val="0"/>
                <w:sz w:val="24"/>
              </w:rPr>
              <w:t>。</w:t>
            </w:r>
          </w:p>
          <w:p>
            <w:pPr>
              <w:pStyle w:val="10"/>
              <w:bidi w:val="0"/>
              <w:rPr>
                <w:rFonts w:hint="eastAsia"/>
                <w:color w:val="auto"/>
                <w:lang w:val="en-US" w:eastAsia="zh-CN"/>
              </w:rPr>
            </w:pPr>
            <w:r>
              <w:rPr>
                <w:rFonts w:hint="eastAsia"/>
                <w:color w:val="auto"/>
                <w:lang w:val="en-US" w:eastAsia="zh-CN"/>
              </w:rPr>
              <w:t>施工验收标准如下：</w:t>
            </w:r>
          </w:p>
          <w:p>
            <w:pPr>
              <w:pStyle w:val="10"/>
              <w:keepNext w:val="0"/>
              <w:keepLines w:val="0"/>
              <w:pageBreakBefore w:val="0"/>
              <w:widowControl w:val="0"/>
              <w:numPr>
                <w:ilvl w:val="0"/>
                <w:numId w:val="15"/>
              </w:numPr>
              <w:kinsoku/>
              <w:wordWrap/>
              <w:overflowPunct/>
              <w:topLinePunct w:val="0"/>
              <w:autoSpaceDE/>
              <w:autoSpaceDN/>
              <w:bidi w:val="0"/>
              <w:adjustRightInd/>
              <w:snapToGrid w:val="0"/>
              <w:ind w:left="0" w:leftChars="0" w:firstLine="480" w:firstLineChars="200"/>
              <w:textAlignment w:val="auto"/>
              <w:rPr>
                <w:rFonts w:hint="default"/>
                <w:color w:val="auto"/>
                <w:lang w:val="en-US" w:eastAsia="zh-CN"/>
              </w:rPr>
            </w:pPr>
            <w:r>
              <w:rPr>
                <w:rFonts w:hint="eastAsia"/>
                <w:color w:val="auto"/>
                <w:lang w:val="en-US" w:eastAsia="zh-CN"/>
              </w:rPr>
              <w:t>高密度聚乙烯（HDPE）膜堆放场地应平整,堆放高度不宜</w:t>
            </w:r>
            <w:r>
              <w:rPr>
                <w:rFonts w:hint="default"/>
                <w:color w:val="auto"/>
                <w:lang w:val="en-US" w:eastAsia="zh-CN"/>
              </w:rPr>
              <w:t>超过四层。</w:t>
            </w:r>
          </w:p>
          <w:p>
            <w:pPr>
              <w:pStyle w:val="10"/>
              <w:keepNext w:val="0"/>
              <w:keepLines w:val="0"/>
              <w:pageBreakBefore w:val="0"/>
              <w:widowControl w:val="0"/>
              <w:numPr>
                <w:ilvl w:val="0"/>
                <w:numId w:val="15"/>
              </w:numPr>
              <w:kinsoku/>
              <w:wordWrap/>
              <w:overflowPunct/>
              <w:topLinePunct w:val="0"/>
              <w:autoSpaceDE/>
              <w:autoSpaceDN/>
              <w:bidi w:val="0"/>
              <w:adjustRightInd/>
              <w:snapToGrid w:val="0"/>
              <w:ind w:left="0" w:leftChars="0" w:firstLine="480" w:firstLineChars="200"/>
              <w:textAlignment w:val="auto"/>
              <w:rPr>
                <w:rFonts w:hint="default"/>
                <w:color w:val="auto"/>
                <w:lang w:val="en-US" w:eastAsia="zh-CN"/>
              </w:rPr>
            </w:pPr>
            <w:r>
              <w:rPr>
                <w:rFonts w:hint="default"/>
                <w:color w:val="auto"/>
                <w:lang w:val="en-US" w:eastAsia="zh-CN"/>
              </w:rPr>
              <w:t>防渗层的地基应平整，每平方米的平整度允许偏差为±10mm,地基表面不应含有粒径大于5mm的尖锐物。</w:t>
            </w:r>
          </w:p>
          <w:p>
            <w:pPr>
              <w:pStyle w:val="10"/>
              <w:keepNext w:val="0"/>
              <w:keepLines w:val="0"/>
              <w:pageBreakBefore w:val="0"/>
              <w:widowControl w:val="0"/>
              <w:numPr>
                <w:ilvl w:val="0"/>
                <w:numId w:val="15"/>
              </w:numPr>
              <w:kinsoku/>
              <w:wordWrap/>
              <w:overflowPunct/>
              <w:topLinePunct w:val="0"/>
              <w:autoSpaceDE/>
              <w:autoSpaceDN/>
              <w:bidi w:val="0"/>
              <w:adjustRightInd/>
              <w:snapToGrid w:val="0"/>
              <w:ind w:left="0" w:leftChars="0" w:firstLine="480" w:firstLineChars="200"/>
              <w:textAlignment w:val="auto"/>
              <w:rPr>
                <w:rFonts w:hint="default"/>
                <w:color w:val="auto"/>
                <w:lang w:val="en-US" w:eastAsia="zh-CN"/>
              </w:rPr>
            </w:pPr>
            <w:r>
              <w:rPr>
                <w:rFonts w:hint="default"/>
                <w:color w:val="auto"/>
                <w:lang w:val="en-US" w:eastAsia="zh-CN"/>
              </w:rPr>
              <w:t>当气温低于5℃、风力大于四级或雨雪天气时，不应进行高密度聚乙烯</w:t>
            </w:r>
            <w:r>
              <w:rPr>
                <w:rFonts w:hint="eastAsia"/>
                <w:color w:val="auto"/>
                <w:lang w:val="en-US" w:eastAsia="zh-CN"/>
              </w:rPr>
              <w:t>（</w:t>
            </w:r>
            <w:r>
              <w:rPr>
                <w:rFonts w:hint="default"/>
                <w:color w:val="auto"/>
                <w:lang w:val="en-US" w:eastAsia="zh-CN"/>
              </w:rPr>
              <w:t>HDPE</w:t>
            </w:r>
            <w:r>
              <w:rPr>
                <w:rFonts w:hint="eastAsia"/>
                <w:color w:val="auto"/>
                <w:lang w:val="en-US" w:eastAsia="zh-CN"/>
              </w:rPr>
              <w:t>）</w:t>
            </w:r>
            <w:r>
              <w:rPr>
                <w:rFonts w:hint="default"/>
                <w:color w:val="auto"/>
                <w:lang w:val="en-US" w:eastAsia="zh-CN"/>
              </w:rPr>
              <w:t>膜的施工。</w:t>
            </w:r>
          </w:p>
          <w:p>
            <w:pPr>
              <w:pStyle w:val="10"/>
              <w:keepNext w:val="0"/>
              <w:keepLines w:val="0"/>
              <w:pageBreakBefore w:val="0"/>
              <w:widowControl w:val="0"/>
              <w:numPr>
                <w:ilvl w:val="0"/>
                <w:numId w:val="15"/>
              </w:numPr>
              <w:kinsoku/>
              <w:wordWrap/>
              <w:overflowPunct/>
              <w:topLinePunct w:val="0"/>
              <w:autoSpaceDE/>
              <w:autoSpaceDN/>
              <w:bidi w:val="0"/>
              <w:adjustRightInd/>
              <w:snapToGrid w:val="0"/>
              <w:ind w:left="0" w:leftChars="0" w:firstLine="480" w:firstLineChars="200"/>
              <w:textAlignment w:val="auto"/>
              <w:rPr>
                <w:rFonts w:hint="default"/>
                <w:color w:val="auto"/>
                <w:lang w:val="en-US" w:eastAsia="zh-CN"/>
              </w:rPr>
            </w:pPr>
            <w:r>
              <w:rPr>
                <w:rFonts w:hint="default"/>
                <w:color w:val="auto"/>
                <w:lang w:val="en-US" w:eastAsia="zh-CN"/>
              </w:rPr>
              <w:t>高密度聚乙烯</w:t>
            </w:r>
            <w:r>
              <w:rPr>
                <w:rFonts w:hint="eastAsia"/>
                <w:color w:val="auto"/>
                <w:lang w:val="en-US" w:eastAsia="zh-CN"/>
              </w:rPr>
              <w:t>（</w:t>
            </w:r>
            <w:r>
              <w:rPr>
                <w:rFonts w:hint="default"/>
                <w:color w:val="auto"/>
                <w:lang w:val="en-US" w:eastAsia="zh-CN"/>
              </w:rPr>
              <w:t>HDPE</w:t>
            </w:r>
            <w:r>
              <w:rPr>
                <w:rFonts w:hint="eastAsia"/>
                <w:color w:val="auto"/>
                <w:lang w:val="en-US" w:eastAsia="zh-CN"/>
              </w:rPr>
              <w:t>）</w:t>
            </w:r>
            <w:r>
              <w:rPr>
                <w:rFonts w:hint="default"/>
                <w:color w:val="auto"/>
                <w:lang w:val="en-US" w:eastAsia="zh-CN"/>
              </w:rPr>
              <w:t>膜的铺设应符合下列规定：合理布置膜片，坡度大于30°时不应有水平接缝。采用热熔焊接时的搭接宽度不应小于80mm,挤压焊接时的搭接宽度不应小于55mm。焊接前应清除接缝处的油污、灰尘、泥沙等杂物，并应进行试焊，确定焊接温度、速度和压力等参数。当天铺设的膜应当天完成焊接。焊接完毕应采取保护措施，防止高密度聚乙烯</w:t>
            </w:r>
            <w:r>
              <w:rPr>
                <w:rFonts w:hint="eastAsia"/>
                <w:color w:val="auto"/>
                <w:lang w:val="en-US" w:eastAsia="zh-CN"/>
              </w:rPr>
              <w:t>（</w:t>
            </w:r>
            <w:r>
              <w:rPr>
                <w:rFonts w:hint="default"/>
                <w:color w:val="auto"/>
                <w:lang w:val="en-US" w:eastAsia="zh-CN"/>
              </w:rPr>
              <w:t>HDPE</w:t>
            </w:r>
            <w:r>
              <w:rPr>
                <w:rFonts w:hint="eastAsia"/>
                <w:color w:val="auto"/>
                <w:lang w:val="en-US" w:eastAsia="zh-CN"/>
              </w:rPr>
              <w:t>）</w:t>
            </w:r>
            <w:r>
              <w:rPr>
                <w:rFonts w:hint="default"/>
                <w:color w:val="auto"/>
                <w:lang w:val="en-US" w:eastAsia="zh-CN"/>
              </w:rPr>
              <w:t>膜受风力影响而破坏。</w:t>
            </w:r>
          </w:p>
          <w:p>
            <w:pPr>
              <w:pStyle w:val="10"/>
              <w:keepNext w:val="0"/>
              <w:keepLines w:val="0"/>
              <w:pageBreakBefore w:val="0"/>
              <w:widowControl w:val="0"/>
              <w:numPr>
                <w:ilvl w:val="0"/>
                <w:numId w:val="15"/>
              </w:numPr>
              <w:kinsoku/>
              <w:wordWrap/>
              <w:overflowPunct/>
              <w:topLinePunct w:val="0"/>
              <w:autoSpaceDE/>
              <w:autoSpaceDN/>
              <w:bidi w:val="0"/>
              <w:adjustRightInd/>
              <w:snapToGrid w:val="0"/>
              <w:ind w:left="0" w:leftChars="0" w:firstLine="480" w:firstLineChars="200"/>
              <w:textAlignment w:val="auto"/>
              <w:rPr>
                <w:rFonts w:hint="default"/>
                <w:color w:val="auto"/>
                <w:lang w:val="en-US" w:eastAsia="zh-CN"/>
              </w:rPr>
            </w:pPr>
            <w:r>
              <w:rPr>
                <w:rFonts w:hint="default"/>
                <w:color w:val="auto"/>
                <w:lang w:val="en-US" w:eastAsia="zh-CN"/>
              </w:rPr>
              <w:t>土工布采用缝合连接时的搭接宽度不应小于80mm,热粘连接时的搭接宽度不应小于160mm。</w:t>
            </w:r>
          </w:p>
          <w:p>
            <w:pPr>
              <w:pStyle w:val="10"/>
              <w:keepNext w:val="0"/>
              <w:keepLines w:val="0"/>
              <w:pageBreakBefore w:val="0"/>
              <w:widowControl w:val="0"/>
              <w:numPr>
                <w:ilvl w:val="0"/>
                <w:numId w:val="15"/>
              </w:numPr>
              <w:kinsoku/>
              <w:wordWrap/>
              <w:overflowPunct/>
              <w:topLinePunct w:val="0"/>
              <w:autoSpaceDE/>
              <w:autoSpaceDN/>
              <w:bidi w:val="0"/>
              <w:adjustRightInd/>
              <w:snapToGrid w:val="0"/>
              <w:ind w:left="0" w:leftChars="0" w:firstLine="480" w:firstLineChars="200"/>
              <w:textAlignment w:val="auto"/>
              <w:rPr>
                <w:rFonts w:hint="default"/>
                <w:color w:val="auto"/>
                <w:lang w:val="en-US" w:eastAsia="zh-CN"/>
              </w:rPr>
            </w:pPr>
            <w:r>
              <w:rPr>
                <w:rFonts w:hint="default"/>
                <w:color w:val="auto"/>
                <w:lang w:val="en-US" w:eastAsia="zh-CN"/>
              </w:rPr>
              <w:t>土工布的缝合应使用抗紫外线和耐化学腐蚀的聚合物线，并应采用双线缝合；采用热粘连接时，应使搭接宽度范围内的重叠部分全部粘接。</w:t>
            </w:r>
          </w:p>
          <w:p>
            <w:pPr>
              <w:pStyle w:val="10"/>
              <w:keepNext w:val="0"/>
              <w:keepLines w:val="0"/>
              <w:pageBreakBefore w:val="0"/>
              <w:widowControl w:val="0"/>
              <w:numPr>
                <w:ilvl w:val="0"/>
                <w:numId w:val="15"/>
              </w:numPr>
              <w:kinsoku/>
              <w:wordWrap/>
              <w:overflowPunct/>
              <w:topLinePunct w:val="0"/>
              <w:autoSpaceDE/>
              <w:autoSpaceDN/>
              <w:bidi w:val="0"/>
              <w:adjustRightInd/>
              <w:snapToGrid w:val="0"/>
              <w:ind w:left="0" w:leftChars="0" w:firstLine="480" w:firstLineChars="200"/>
              <w:textAlignment w:val="auto"/>
              <w:rPr>
                <w:rFonts w:hint="default"/>
                <w:color w:val="auto"/>
                <w:lang w:val="en-US" w:eastAsia="zh-CN"/>
              </w:rPr>
            </w:pPr>
            <w:r>
              <w:rPr>
                <w:rFonts w:hint="default"/>
                <w:color w:val="auto"/>
                <w:lang w:val="en-US" w:eastAsia="zh-CN"/>
              </w:rPr>
              <w:t>土工布上如果有裂缝和孔洞，应使用相同规格的材料进行修补，修补范围应大于破损处周边300mm。</w:t>
            </w:r>
          </w:p>
          <w:p>
            <w:pPr>
              <w:pStyle w:val="10"/>
              <w:keepNext w:val="0"/>
              <w:keepLines w:val="0"/>
              <w:pageBreakBefore w:val="0"/>
              <w:widowControl w:val="0"/>
              <w:numPr>
                <w:ilvl w:val="0"/>
                <w:numId w:val="15"/>
              </w:numPr>
              <w:kinsoku/>
              <w:wordWrap/>
              <w:overflowPunct/>
              <w:topLinePunct w:val="0"/>
              <w:autoSpaceDE/>
              <w:autoSpaceDN/>
              <w:bidi w:val="0"/>
              <w:adjustRightInd/>
              <w:snapToGrid w:val="0"/>
              <w:ind w:left="0" w:leftChars="0" w:firstLine="480" w:firstLineChars="200"/>
              <w:textAlignment w:val="auto"/>
              <w:rPr>
                <w:rFonts w:hint="default"/>
                <w:color w:val="auto"/>
                <w:lang w:val="en-US" w:eastAsia="zh-CN"/>
              </w:rPr>
            </w:pPr>
            <w:r>
              <w:rPr>
                <w:rFonts w:hint="default"/>
                <w:color w:val="auto"/>
                <w:lang w:val="en-US" w:eastAsia="zh-CN"/>
              </w:rPr>
              <w:t>高密度聚乙烯</w:t>
            </w:r>
            <w:r>
              <w:rPr>
                <w:rFonts w:hint="eastAsia"/>
                <w:color w:val="auto"/>
                <w:lang w:val="en-US" w:eastAsia="zh-CN"/>
              </w:rPr>
              <w:t>（</w:t>
            </w:r>
            <w:r>
              <w:rPr>
                <w:rFonts w:hint="default"/>
                <w:color w:val="auto"/>
                <w:lang w:val="en-US" w:eastAsia="zh-CN"/>
              </w:rPr>
              <w:t>HDPE</w:t>
            </w:r>
            <w:r>
              <w:rPr>
                <w:rFonts w:hint="eastAsia"/>
                <w:color w:val="auto"/>
                <w:lang w:val="en-US" w:eastAsia="zh-CN"/>
              </w:rPr>
              <w:t>）</w:t>
            </w:r>
            <w:r>
              <w:rPr>
                <w:rFonts w:hint="default"/>
                <w:color w:val="auto"/>
                <w:lang w:val="en-US" w:eastAsia="zh-CN"/>
              </w:rPr>
              <w:t>膜的施工质量外观检验应符合下列规定：</w:t>
            </w:r>
          </w:p>
          <w:p>
            <w:pPr>
              <w:pStyle w:val="10"/>
              <w:keepNext w:val="0"/>
              <w:keepLines w:val="0"/>
              <w:pageBreakBefore w:val="0"/>
              <w:widowControl w:val="0"/>
              <w:numPr>
                <w:ilvl w:val="0"/>
                <w:numId w:val="15"/>
              </w:numPr>
              <w:kinsoku/>
              <w:wordWrap/>
              <w:overflowPunct/>
              <w:topLinePunct w:val="0"/>
              <w:autoSpaceDE/>
              <w:autoSpaceDN/>
              <w:bidi w:val="0"/>
              <w:adjustRightInd/>
              <w:snapToGrid w:val="0"/>
              <w:ind w:left="0" w:leftChars="0" w:firstLine="480" w:firstLineChars="200"/>
              <w:textAlignment w:val="auto"/>
              <w:rPr>
                <w:rFonts w:hint="default"/>
                <w:color w:val="auto"/>
                <w:lang w:val="en-US" w:eastAsia="zh-CN"/>
              </w:rPr>
            </w:pPr>
            <w:r>
              <w:rPr>
                <w:rFonts w:hint="default"/>
                <w:color w:val="auto"/>
                <w:lang w:val="en-US" w:eastAsia="zh-CN"/>
              </w:rPr>
              <w:t>焊接、检测和修补记录标识应明显、清楚，焊缝表面应整齐，不应有裂纹、气孔、漏焊和虚焊现象。膜应无损伤，阴角处应无折皱、无悬空。搭接宽度应符合本规范规定。</w:t>
            </w:r>
          </w:p>
          <w:p>
            <w:pPr>
              <w:pStyle w:val="10"/>
              <w:keepNext w:val="0"/>
              <w:keepLines w:val="0"/>
              <w:pageBreakBefore w:val="0"/>
              <w:widowControl w:val="0"/>
              <w:numPr>
                <w:ilvl w:val="0"/>
                <w:numId w:val="15"/>
              </w:numPr>
              <w:kinsoku/>
              <w:wordWrap/>
              <w:overflowPunct/>
              <w:topLinePunct w:val="0"/>
              <w:autoSpaceDE/>
              <w:autoSpaceDN/>
              <w:bidi w:val="0"/>
              <w:adjustRightInd/>
              <w:snapToGrid w:val="0"/>
              <w:ind w:left="0" w:leftChars="0" w:firstLine="480" w:firstLineChars="200"/>
              <w:textAlignment w:val="auto"/>
              <w:rPr>
                <w:rFonts w:hint="default"/>
                <w:color w:val="auto"/>
                <w:lang w:val="en-US" w:eastAsia="zh-CN"/>
              </w:rPr>
            </w:pPr>
            <w:r>
              <w:rPr>
                <w:rFonts w:hint="default"/>
                <w:color w:val="auto"/>
                <w:lang w:val="en-US" w:eastAsia="zh-CN"/>
              </w:rPr>
              <w:t>高密度聚乙烯</w:t>
            </w:r>
            <w:r>
              <w:rPr>
                <w:rFonts w:hint="eastAsia"/>
                <w:color w:val="auto"/>
                <w:lang w:val="en-US" w:eastAsia="zh-CN"/>
              </w:rPr>
              <w:t>（</w:t>
            </w:r>
            <w:r>
              <w:rPr>
                <w:rFonts w:hint="default"/>
                <w:color w:val="auto"/>
                <w:lang w:val="en-US" w:eastAsia="zh-CN"/>
              </w:rPr>
              <w:t>HDPE</w:t>
            </w:r>
            <w:r>
              <w:rPr>
                <w:rFonts w:hint="eastAsia"/>
                <w:color w:val="auto"/>
                <w:lang w:val="en-US" w:eastAsia="zh-CN"/>
              </w:rPr>
              <w:t>）</w:t>
            </w:r>
            <w:r>
              <w:rPr>
                <w:rFonts w:hint="default"/>
                <w:color w:val="auto"/>
                <w:lang w:val="en-US" w:eastAsia="zh-CN"/>
              </w:rPr>
              <w:t>膜焊接质量检测应符合下列规定：</w:t>
            </w:r>
          </w:p>
          <w:p>
            <w:pPr>
              <w:pStyle w:val="10"/>
              <w:keepNext w:val="0"/>
              <w:keepLines w:val="0"/>
              <w:pageBreakBefore w:val="0"/>
              <w:widowControl w:val="0"/>
              <w:numPr>
                <w:ilvl w:val="0"/>
                <w:numId w:val="15"/>
              </w:numPr>
              <w:kinsoku/>
              <w:wordWrap/>
              <w:overflowPunct/>
              <w:topLinePunct w:val="0"/>
              <w:autoSpaceDE/>
              <w:autoSpaceDN/>
              <w:bidi w:val="0"/>
              <w:adjustRightInd/>
              <w:snapToGrid w:val="0"/>
              <w:ind w:left="0" w:leftChars="0" w:firstLine="480" w:firstLineChars="200"/>
              <w:textAlignment w:val="auto"/>
              <w:rPr>
                <w:rFonts w:hint="default"/>
                <w:color w:val="auto"/>
                <w:lang w:val="en-US" w:eastAsia="zh-CN"/>
              </w:rPr>
            </w:pPr>
            <w:r>
              <w:rPr>
                <w:rFonts w:hint="default"/>
                <w:color w:val="auto"/>
                <w:lang w:val="en-US" w:eastAsia="zh-CN"/>
              </w:rPr>
              <w:t>热熔焊接的焊缝应进行气压检测，合格率应为100%。挤压焊接的焊缝应进行真空检测或电火花检测，合格率应为100%。焊缝破坏性检测，按每1000m焊缝取一个600mm×300mm样品做剥离和剪切强度测试，合格率应为100%。气压、真空、电火花和破坏性测试方法应符合本规范附录B的规定。</w:t>
            </w:r>
          </w:p>
          <w:p>
            <w:pPr>
              <w:pStyle w:val="10"/>
              <w:keepNext w:val="0"/>
              <w:keepLines w:val="0"/>
              <w:pageBreakBefore w:val="0"/>
              <w:widowControl w:val="0"/>
              <w:numPr>
                <w:ilvl w:val="0"/>
                <w:numId w:val="15"/>
              </w:numPr>
              <w:kinsoku/>
              <w:wordWrap/>
              <w:overflowPunct/>
              <w:topLinePunct w:val="0"/>
              <w:autoSpaceDE/>
              <w:autoSpaceDN/>
              <w:bidi w:val="0"/>
              <w:adjustRightInd/>
              <w:snapToGrid w:val="0"/>
              <w:ind w:left="0" w:leftChars="0" w:firstLine="480" w:firstLineChars="200"/>
              <w:textAlignment w:val="auto"/>
              <w:rPr>
                <w:rFonts w:hint="default"/>
                <w:color w:val="auto"/>
                <w:lang w:val="en-US" w:eastAsia="zh-CN"/>
              </w:rPr>
            </w:pPr>
            <w:r>
              <w:rPr>
                <w:rFonts w:hint="default"/>
                <w:color w:val="auto"/>
                <w:lang w:val="en-US" w:eastAsia="zh-CN"/>
              </w:rPr>
              <w:t>土工布的施工质量观感检验应无破损、无跳针，铺设平顺，无漏接，搭接宽度应符合本规范规定。</w:t>
            </w:r>
          </w:p>
          <w:p>
            <w:pPr>
              <w:pStyle w:val="56"/>
              <w:bidi w:val="0"/>
              <w:rPr>
                <w:rFonts w:hint="eastAsia"/>
                <w:color w:val="auto"/>
              </w:rPr>
            </w:pPr>
            <w:r>
              <w:rPr>
                <w:rFonts w:hint="eastAsia"/>
                <w:color w:val="auto"/>
                <w:lang w:val="en-US" w:eastAsia="zh-CN"/>
              </w:rPr>
              <w:t xml:space="preserve">表5-3  </w:t>
            </w:r>
            <w:r>
              <w:rPr>
                <w:rFonts w:hint="eastAsia"/>
                <w:color w:val="auto"/>
              </w:rPr>
              <w:t>项目分区防渗表</w:t>
            </w:r>
          </w:p>
          <w:tbl>
            <w:tblPr>
              <w:tblStyle w:val="5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032"/>
              <w:gridCol w:w="1187"/>
              <w:gridCol w:w="3013"/>
              <w:gridCol w:w="263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656" w:type="pct"/>
                  <w:vAlign w:val="center"/>
                </w:tcPr>
                <w:p>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时期</w:t>
                  </w:r>
                </w:p>
              </w:tc>
              <w:tc>
                <w:tcPr>
                  <w:tcW w:w="754" w:type="pct"/>
                  <w:vAlign w:val="center"/>
                </w:tcPr>
                <w:p>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防渗分区</w:t>
                  </w:r>
                </w:p>
              </w:tc>
              <w:tc>
                <w:tcPr>
                  <w:tcW w:w="1914" w:type="pct"/>
                  <w:vAlign w:val="center"/>
                </w:tcPr>
                <w:p>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生产单元</w:t>
                  </w:r>
                </w:p>
              </w:tc>
              <w:tc>
                <w:tcPr>
                  <w:tcW w:w="1674" w:type="pct"/>
                  <w:vAlign w:val="center"/>
                </w:tcPr>
                <w:p>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防渗性能要求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656"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钻井井场</w:t>
                  </w:r>
                </w:p>
              </w:tc>
              <w:tc>
                <w:tcPr>
                  <w:tcW w:w="754" w:type="pct"/>
                  <w:vAlign w:val="center"/>
                </w:tcPr>
                <w:p>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一般防渗区</w:t>
                  </w:r>
                </w:p>
              </w:tc>
              <w:tc>
                <w:tcPr>
                  <w:tcW w:w="1914" w:type="pct"/>
                  <w:vAlign w:val="center"/>
                </w:tcPr>
                <w:p>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4"/>
                      <w:kern w:val="0"/>
                      <w:sz w:val="21"/>
                      <w:szCs w:val="21"/>
                      <w:lang w:val="en-US" w:eastAsia="zh-CN" w:bidi="ar-SA"/>
                    </w:rPr>
                    <w:t>化工爬犁、材料爬犁、材料房</w:t>
                  </w:r>
                  <w:r>
                    <w:rPr>
                      <w:rFonts w:hint="eastAsia" w:ascii="Times New Roman" w:hAnsi="Times New Roman" w:eastAsia="宋体" w:cs="Times New Roman"/>
                      <w:color w:val="auto"/>
                      <w:spacing w:val="-4"/>
                      <w:kern w:val="0"/>
                      <w:sz w:val="21"/>
                      <w:szCs w:val="21"/>
                      <w:lang w:val="en-US" w:eastAsia="zh-CN" w:bidi="ar-SA"/>
                    </w:rPr>
                    <w:t>、生活污水收集池</w:t>
                  </w:r>
                </w:p>
              </w:tc>
              <w:tc>
                <w:tcPr>
                  <w:tcW w:w="1674" w:type="pct"/>
                  <w:vAlign w:val="center"/>
                </w:tcPr>
                <w:p>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等效黏土防渗层MB≥1.5m，K≤1.0×10</w:t>
                  </w:r>
                  <w:r>
                    <w:rPr>
                      <w:rFonts w:hint="default" w:ascii="Times New Roman" w:hAnsi="Times New Roman" w:eastAsia="宋体" w:cs="Times New Roman"/>
                      <w:color w:val="auto"/>
                      <w:kern w:val="0"/>
                      <w:sz w:val="21"/>
                      <w:szCs w:val="21"/>
                      <w:vertAlign w:val="superscript"/>
                      <w:lang w:val="en-US" w:eastAsia="zh-CN" w:bidi="ar-SA"/>
                    </w:rPr>
                    <w:t>-7</w:t>
                  </w:r>
                  <w:r>
                    <w:rPr>
                      <w:rFonts w:hint="default" w:ascii="Times New Roman" w:hAnsi="Times New Roman" w:eastAsia="宋体" w:cs="Times New Roman"/>
                      <w:color w:val="auto"/>
                      <w:kern w:val="0"/>
                      <w:sz w:val="21"/>
                      <w:szCs w:val="21"/>
                      <w:lang w:val="en-US" w:eastAsia="zh-CN" w:bidi="ar-SA"/>
                    </w:rPr>
                    <w:t>cm/s</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656"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ascii="Times New Roman" w:hAnsi="Times New Roman" w:eastAsia="宋体" w:cs="Times New Roman"/>
                      <w:color w:val="auto"/>
                      <w:kern w:val="0"/>
                      <w:sz w:val="21"/>
                      <w:szCs w:val="21"/>
                      <w:lang w:val="en-US" w:eastAsia="zh-CN" w:bidi="ar-SA"/>
                    </w:rPr>
                  </w:pPr>
                </w:p>
              </w:tc>
              <w:tc>
                <w:tcPr>
                  <w:tcW w:w="754" w:type="pct"/>
                  <w:vAlign w:val="center"/>
                </w:tcPr>
                <w:p>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重点防渗区</w:t>
                  </w:r>
                </w:p>
              </w:tc>
              <w:tc>
                <w:tcPr>
                  <w:tcW w:w="1914" w:type="pct"/>
                  <w:vAlign w:val="center"/>
                </w:tcPr>
                <w:p>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柴油储罐、发电房、废料场、不落地系统、钻井液储罐区、岩屑储罐区、钻井井口、危险废物贮存点、应急放喷池（应急放喷池仅在事故状态下开挖）</w:t>
                  </w:r>
                </w:p>
              </w:tc>
              <w:tc>
                <w:tcPr>
                  <w:tcW w:w="1674" w:type="pct"/>
                  <w:vAlign w:val="center"/>
                </w:tcPr>
                <w:p>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铺设HDPE防渗膜（渗透系数不大于10</w:t>
                  </w:r>
                  <w:r>
                    <w:rPr>
                      <w:rFonts w:hint="default" w:ascii="Times New Roman" w:hAnsi="Times New Roman" w:eastAsia="宋体" w:cs="Times New Roman"/>
                      <w:color w:val="auto"/>
                      <w:kern w:val="0"/>
                      <w:sz w:val="21"/>
                      <w:szCs w:val="21"/>
                      <w:vertAlign w:val="superscript"/>
                      <w:lang w:val="en-US" w:eastAsia="zh-CN" w:bidi="ar-SA"/>
                    </w:rPr>
                    <w:t>-10</w:t>
                  </w:r>
                  <w:r>
                    <w:rPr>
                      <w:rFonts w:hint="default" w:ascii="Times New Roman" w:hAnsi="Times New Roman" w:eastAsia="宋体" w:cs="Times New Roman"/>
                      <w:color w:val="auto"/>
                      <w:kern w:val="0"/>
                      <w:sz w:val="21"/>
                      <w:szCs w:val="21"/>
                      <w:lang w:val="en-US" w:eastAsia="zh-CN" w:bidi="ar-SA"/>
                    </w:rPr>
                    <w:t>cm/s）或者采取铺设渗透系数不大于10</w:t>
                  </w:r>
                  <w:r>
                    <w:rPr>
                      <w:rFonts w:hint="default" w:ascii="Times New Roman" w:hAnsi="Times New Roman" w:eastAsia="宋体" w:cs="Times New Roman"/>
                      <w:color w:val="auto"/>
                      <w:kern w:val="0"/>
                      <w:sz w:val="21"/>
                      <w:szCs w:val="21"/>
                      <w:vertAlign w:val="superscript"/>
                      <w:lang w:val="en-US" w:eastAsia="zh-CN" w:bidi="ar-SA"/>
                    </w:rPr>
                    <w:t>-10</w:t>
                  </w:r>
                  <w:r>
                    <w:rPr>
                      <w:rFonts w:hint="default" w:ascii="Times New Roman" w:hAnsi="Times New Roman" w:eastAsia="宋体" w:cs="Times New Roman"/>
                      <w:color w:val="auto"/>
                      <w:kern w:val="0"/>
                      <w:sz w:val="21"/>
                      <w:szCs w:val="21"/>
                      <w:lang w:val="en-US" w:eastAsia="zh-CN" w:bidi="ar-SA"/>
                    </w:rPr>
                    <w:t>cm/s的其他人工材料的防渗措施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656"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ascii="Times New Roman" w:hAnsi="Times New Roman" w:eastAsia="宋体" w:cs="Times New Roman"/>
                      <w:color w:val="auto"/>
                      <w:kern w:val="0"/>
                      <w:sz w:val="21"/>
                      <w:szCs w:val="21"/>
                      <w:lang w:val="en-US" w:eastAsia="zh-CN" w:bidi="ar-SA"/>
                    </w:rPr>
                  </w:pPr>
                </w:p>
              </w:tc>
              <w:tc>
                <w:tcPr>
                  <w:tcW w:w="754" w:type="pct"/>
                  <w:vAlign w:val="center"/>
                </w:tcPr>
                <w:p>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4"/>
                      <w:kern w:val="0"/>
                      <w:sz w:val="21"/>
                      <w:szCs w:val="21"/>
                      <w:lang w:val="en-US" w:eastAsia="zh-CN" w:bidi="ar-SA"/>
                    </w:rPr>
                    <w:t>简单防渗区</w:t>
                  </w:r>
                </w:p>
              </w:tc>
              <w:tc>
                <w:tcPr>
                  <w:tcW w:w="1914" w:type="pct"/>
                  <w:vAlign w:val="center"/>
                </w:tcPr>
                <w:p>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水罐区、地质房、录井房、值班房、化验房、远控台、消防房、管线盒、过桥、配电房、钳工房</w:t>
                  </w:r>
                </w:p>
              </w:tc>
              <w:tc>
                <w:tcPr>
                  <w:tcW w:w="1674" w:type="pct"/>
                  <w:vAlign w:val="center"/>
                </w:tcPr>
                <w:p>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一般地面硬化</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656" w:type="pct"/>
                  <w:vAlign w:val="center"/>
                </w:tcPr>
                <w:p>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生活营地</w:t>
                  </w:r>
                </w:p>
              </w:tc>
              <w:tc>
                <w:tcPr>
                  <w:tcW w:w="754" w:type="pct"/>
                  <w:vAlign w:val="center"/>
                </w:tcPr>
                <w:p>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一般防渗区</w:t>
                  </w:r>
                </w:p>
              </w:tc>
              <w:tc>
                <w:tcPr>
                  <w:tcW w:w="1914" w:type="pct"/>
                  <w:vAlign w:val="center"/>
                </w:tcPr>
                <w:p>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生活污水收集池</w:t>
                  </w:r>
                </w:p>
              </w:tc>
              <w:tc>
                <w:tcPr>
                  <w:tcW w:w="1674" w:type="pct"/>
                  <w:vAlign w:val="center"/>
                </w:tcPr>
                <w:p>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等效黏土防渗层MB≥1.5m，≤1.0×10</w:t>
                  </w:r>
                  <w:r>
                    <w:rPr>
                      <w:rFonts w:hint="default" w:ascii="Times New Roman" w:hAnsi="Times New Roman" w:eastAsia="宋体" w:cs="Times New Roman"/>
                      <w:color w:val="auto"/>
                      <w:kern w:val="0"/>
                      <w:sz w:val="21"/>
                      <w:szCs w:val="21"/>
                      <w:vertAlign w:val="superscript"/>
                      <w:lang w:val="en-US" w:eastAsia="zh-CN" w:bidi="ar-SA"/>
                    </w:rPr>
                    <w:t>-7</w:t>
                  </w:r>
                  <w:r>
                    <w:rPr>
                      <w:rFonts w:hint="default" w:ascii="Times New Roman" w:hAnsi="Times New Roman" w:eastAsia="宋体" w:cs="Times New Roman"/>
                      <w:color w:val="auto"/>
                      <w:kern w:val="0"/>
                      <w:sz w:val="21"/>
                      <w:szCs w:val="21"/>
                      <w:lang w:val="en-US" w:eastAsia="zh-CN" w:bidi="ar-SA"/>
                    </w:rPr>
                    <w:t>cm/s</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656"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试油井场</w:t>
                  </w:r>
                </w:p>
              </w:tc>
              <w:tc>
                <w:tcPr>
                  <w:tcW w:w="754" w:type="pct"/>
                  <w:vAlign w:val="center"/>
                </w:tcPr>
                <w:p>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重点防渗区</w:t>
                  </w:r>
                </w:p>
              </w:tc>
              <w:tc>
                <w:tcPr>
                  <w:tcW w:w="1914" w:type="pct"/>
                  <w:vAlign w:val="center"/>
                </w:tcPr>
                <w:p>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发电房、</w:t>
                  </w:r>
                  <w:r>
                    <w:rPr>
                      <w:rFonts w:hint="eastAsia" w:ascii="Times New Roman" w:hAnsi="Times New Roman" w:eastAsia="宋体" w:cs="Times New Roman"/>
                      <w:color w:val="auto"/>
                      <w:kern w:val="0"/>
                      <w:sz w:val="21"/>
                      <w:szCs w:val="21"/>
                      <w:lang w:val="en-US" w:eastAsia="zh-CN" w:bidi="ar-SA"/>
                    </w:rPr>
                    <w:t>危废贮存点、</w:t>
                  </w:r>
                  <w:r>
                    <w:rPr>
                      <w:rFonts w:hint="default" w:ascii="Times New Roman" w:hAnsi="Times New Roman" w:eastAsia="宋体" w:cs="Times New Roman"/>
                      <w:color w:val="auto"/>
                      <w:kern w:val="0"/>
                      <w:sz w:val="21"/>
                      <w:szCs w:val="21"/>
                      <w:lang w:val="en-US" w:eastAsia="zh-CN" w:bidi="ar-SA"/>
                    </w:rPr>
                    <w:t>采出液储罐、试油废水罐</w:t>
                  </w:r>
                  <w:r>
                    <w:rPr>
                      <w:rFonts w:hint="eastAsia" w:ascii="Times New Roman" w:hAnsi="Times New Roman" w:eastAsia="宋体" w:cs="Times New Roman"/>
                      <w:color w:val="auto"/>
                      <w:kern w:val="0"/>
                      <w:sz w:val="21"/>
                      <w:szCs w:val="21"/>
                      <w:lang w:val="en-US" w:eastAsia="zh-CN" w:bidi="ar-SA"/>
                    </w:rPr>
                    <w:t>，井口及应急放喷池</w:t>
                  </w:r>
                </w:p>
              </w:tc>
              <w:tc>
                <w:tcPr>
                  <w:tcW w:w="1674" w:type="pct"/>
                  <w:vAlign w:val="center"/>
                </w:tcPr>
                <w:p>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铺设HDPE防渗膜（渗透系数不大于10</w:t>
                  </w:r>
                  <w:r>
                    <w:rPr>
                      <w:rFonts w:hint="default" w:ascii="Times New Roman" w:hAnsi="Times New Roman" w:eastAsia="宋体" w:cs="Times New Roman"/>
                      <w:color w:val="auto"/>
                      <w:kern w:val="0"/>
                      <w:sz w:val="21"/>
                      <w:szCs w:val="21"/>
                      <w:vertAlign w:val="superscript"/>
                      <w:lang w:val="en-US" w:eastAsia="zh-CN" w:bidi="ar-SA"/>
                    </w:rPr>
                    <w:t>-10</w:t>
                  </w:r>
                  <w:r>
                    <w:rPr>
                      <w:rFonts w:hint="default" w:ascii="Times New Roman" w:hAnsi="Times New Roman" w:eastAsia="宋体" w:cs="Times New Roman"/>
                      <w:color w:val="auto"/>
                      <w:kern w:val="0"/>
                      <w:sz w:val="21"/>
                      <w:szCs w:val="21"/>
                      <w:lang w:val="en-US" w:eastAsia="zh-CN" w:bidi="ar-SA"/>
                    </w:rPr>
                    <w:t>cm/s）或者采取铺设渗透系数不大于10</w:t>
                  </w:r>
                  <w:r>
                    <w:rPr>
                      <w:rFonts w:hint="default" w:ascii="Times New Roman" w:hAnsi="Times New Roman" w:eastAsia="宋体" w:cs="Times New Roman"/>
                      <w:color w:val="auto"/>
                      <w:kern w:val="0"/>
                      <w:sz w:val="21"/>
                      <w:szCs w:val="21"/>
                      <w:vertAlign w:val="superscript"/>
                      <w:lang w:val="en-US" w:eastAsia="zh-CN" w:bidi="ar-SA"/>
                    </w:rPr>
                    <w:t>-10</w:t>
                  </w:r>
                  <w:r>
                    <w:rPr>
                      <w:rFonts w:hint="default" w:ascii="Times New Roman" w:hAnsi="Times New Roman" w:eastAsia="宋体" w:cs="Times New Roman"/>
                      <w:color w:val="auto"/>
                      <w:kern w:val="0"/>
                      <w:sz w:val="21"/>
                      <w:szCs w:val="21"/>
                      <w:lang w:val="en-US" w:eastAsia="zh-CN" w:bidi="ar-SA"/>
                    </w:rPr>
                    <w:t>cm/s的其他人工材料的防渗措施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656"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ascii="Times New Roman" w:hAnsi="Times New Roman" w:eastAsia="宋体" w:cs="Times New Roman"/>
                      <w:color w:val="auto"/>
                      <w:kern w:val="0"/>
                      <w:sz w:val="21"/>
                      <w:szCs w:val="21"/>
                      <w:lang w:val="en-US" w:eastAsia="zh-CN" w:bidi="ar-SA"/>
                    </w:rPr>
                  </w:pPr>
                </w:p>
              </w:tc>
              <w:tc>
                <w:tcPr>
                  <w:tcW w:w="754" w:type="pct"/>
                  <w:vAlign w:val="center"/>
                </w:tcPr>
                <w:p>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pacing w:val="-4"/>
                      <w:kern w:val="0"/>
                      <w:sz w:val="21"/>
                      <w:szCs w:val="21"/>
                      <w:lang w:val="en-US" w:eastAsia="zh-CN" w:bidi="ar-SA"/>
                    </w:rPr>
                    <w:t>简单防渗区</w:t>
                  </w:r>
                </w:p>
              </w:tc>
              <w:tc>
                <w:tcPr>
                  <w:tcW w:w="1914" w:type="pct"/>
                  <w:vAlign w:val="center"/>
                </w:tcPr>
                <w:p>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值班房</w:t>
                  </w:r>
                </w:p>
              </w:tc>
              <w:tc>
                <w:tcPr>
                  <w:tcW w:w="1674" w:type="pct"/>
                  <w:vAlign w:val="center"/>
                </w:tcPr>
                <w:p>
                  <w:pPr>
                    <w:keepNext w:val="0"/>
                    <w:keepLines w:val="0"/>
                    <w:pageBreakBefore w:val="0"/>
                    <w:widowControl w:val="0"/>
                    <w:kinsoku/>
                    <w:wordWrap/>
                    <w:overflowPunct/>
                    <w:topLinePunct w:val="0"/>
                    <w:autoSpaceDE/>
                    <w:autoSpaceDN/>
                    <w:bidi w:val="0"/>
                    <w:adjustRightInd/>
                    <w:snapToGrid/>
                    <w:spacing w:line="240" w:lineRule="auto"/>
                    <w:contextualSpacing/>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一般地面硬化</w:t>
                  </w:r>
                </w:p>
              </w:tc>
            </w:tr>
          </w:tbl>
          <w:p>
            <w:pPr>
              <w:widowControl/>
              <w:tabs>
                <w:tab w:val="left" w:pos="4584"/>
              </w:tabs>
              <w:adjustRightInd w:val="0"/>
              <w:snapToGrid w:val="0"/>
              <w:spacing w:line="480" w:lineRule="exact"/>
              <w:ind w:firstLine="464" w:firstLineChars="200"/>
              <w:rPr>
                <w:rFonts w:hint="default" w:ascii="Times New Roman" w:hAnsi="Times New Roman" w:eastAsia="宋体" w:cs="Times New Roman"/>
                <w:color w:val="auto"/>
                <w:spacing w:val="-4"/>
              </w:rPr>
            </w:pPr>
            <w:r>
              <w:rPr>
                <w:rFonts w:hint="default" w:ascii="Times New Roman" w:hAnsi="Times New Roman" w:eastAsia="宋体" w:cs="Times New Roman"/>
                <w:color w:val="auto"/>
                <w:spacing w:val="-4"/>
              </w:rPr>
              <w:t>（2）钻井时采用套管与地层隔离开、并在套管与地层之间注入水泥进行固井，水泥浆返至地面，封隔疏松地层和水层。</w:t>
            </w:r>
          </w:p>
          <w:p>
            <w:pPr>
              <w:widowControl w:val="0"/>
              <w:spacing w:line="480" w:lineRule="exact"/>
              <w:ind w:firstLine="464" w:firstLineChars="200"/>
              <w:jc w:val="both"/>
              <w:rPr>
                <w:rFonts w:hint="default" w:ascii="Times New Roman" w:hAnsi="Times New Roman" w:eastAsia="宋体" w:cs="Times New Roman"/>
                <w:bCs/>
                <w:color w:val="auto"/>
                <w:kern w:val="0"/>
                <w:sz w:val="24"/>
                <w:szCs w:val="24"/>
                <w:lang w:val="en-US" w:eastAsia="zh-CN" w:bidi="ar-SA"/>
              </w:rPr>
            </w:pPr>
            <w:r>
              <w:rPr>
                <w:rFonts w:hint="default" w:ascii="Times New Roman" w:hAnsi="Times New Roman" w:eastAsia="宋体" w:cs="Times New Roman"/>
                <w:color w:val="auto"/>
                <w:spacing w:val="-4"/>
                <w:kern w:val="0"/>
                <w:sz w:val="24"/>
                <w:szCs w:val="24"/>
                <w:lang w:val="en-US" w:eastAsia="zh-CN" w:bidi="ar-SA"/>
              </w:rPr>
              <w:t>（3）钻井时严格落实套管下入深度合格和固井质量合格，</w:t>
            </w:r>
            <w:r>
              <w:rPr>
                <w:rFonts w:hint="default" w:ascii="Times New Roman" w:hAnsi="Times New Roman" w:eastAsia="宋体" w:cs="Times New Roman"/>
                <w:bCs/>
                <w:color w:val="auto"/>
                <w:kern w:val="0"/>
                <w:sz w:val="24"/>
                <w:szCs w:val="24"/>
                <w:lang w:val="en-US" w:eastAsia="zh-CN" w:bidi="ar-SA"/>
              </w:rPr>
              <w:t>对产生的洗井废水、压裂返排液、水基钻井岩屑、油基钻井岩屑、沾油废防渗材料、废润滑油、废润滑油桶严格管理，禁止乱排。</w:t>
            </w:r>
          </w:p>
          <w:p>
            <w:pPr>
              <w:pStyle w:val="64"/>
              <w:ind w:firstLine="480"/>
              <w:rPr>
                <w:rFonts w:hint="default" w:ascii="Times New Roman" w:hAnsi="Times New Roman" w:cs="Times New Roman"/>
                <w:color w:val="auto"/>
              </w:rPr>
            </w:pPr>
            <w:r>
              <w:rPr>
                <w:rFonts w:hint="default" w:ascii="Times New Roman" w:hAnsi="Times New Roman" w:cs="Times New Roman"/>
                <w:color w:val="auto"/>
              </w:rPr>
              <w:t>（</w:t>
            </w:r>
            <w:r>
              <w:rPr>
                <w:rFonts w:hint="default" w:ascii="Times New Roman" w:hAnsi="Times New Roman" w:cs="Times New Roman"/>
                <w:color w:val="auto"/>
                <w:lang w:val="en-US" w:eastAsia="zh-CN"/>
              </w:rPr>
              <w:t>4</w:t>
            </w:r>
            <w:r>
              <w:rPr>
                <w:rFonts w:hint="default" w:ascii="Times New Roman" w:hAnsi="Times New Roman" w:cs="Times New Roman"/>
                <w:color w:val="auto"/>
              </w:rPr>
              <w:t>）使用无毒，环境友好型压裂液。</w:t>
            </w:r>
          </w:p>
          <w:p>
            <w:pPr>
              <w:pStyle w:val="64"/>
              <w:ind w:firstLine="480"/>
              <w:rPr>
                <w:rFonts w:hint="default" w:ascii="Times New Roman" w:hAnsi="Times New Roman" w:cs="Times New Roman"/>
                <w:color w:val="auto"/>
              </w:rPr>
            </w:pPr>
            <w:r>
              <w:rPr>
                <w:rFonts w:hint="default" w:ascii="Times New Roman" w:hAnsi="Times New Roman" w:cs="Times New Roman"/>
                <w:color w:val="auto"/>
              </w:rPr>
              <w:t>（</w:t>
            </w:r>
            <w:r>
              <w:rPr>
                <w:rFonts w:hint="default" w:ascii="Times New Roman" w:hAnsi="Times New Roman" w:cs="Times New Roman"/>
                <w:color w:val="auto"/>
                <w:lang w:val="en-US" w:eastAsia="zh-CN"/>
              </w:rPr>
              <w:t>5</w:t>
            </w:r>
            <w:r>
              <w:rPr>
                <w:rFonts w:hint="default" w:ascii="Times New Roman" w:hAnsi="Times New Roman" w:cs="Times New Roman"/>
                <w:color w:val="auto"/>
              </w:rPr>
              <w:t>）加强施工单位和运输车辆的管理，严禁废水随意排放或倾倒。</w:t>
            </w:r>
            <w:r>
              <w:rPr>
                <w:rFonts w:hint="default" w:ascii="Times New Roman" w:hAnsi="Times New Roman" w:cs="Times New Roman"/>
                <w:color w:val="auto"/>
                <w:kern w:val="0"/>
              </w:rPr>
              <w:t>加强对工作人员防治水污染的宣传教育及管理。</w:t>
            </w:r>
          </w:p>
          <w:p>
            <w:pPr>
              <w:widowControl w:val="0"/>
              <w:spacing w:line="480" w:lineRule="exact"/>
              <w:ind w:firstLine="472" w:firstLineChars="200"/>
              <w:jc w:val="both"/>
              <w:rPr>
                <w:rFonts w:hint="default" w:ascii="Times New Roman" w:hAnsi="Times New Roman" w:eastAsia="宋体" w:cs="Times New Roman"/>
                <w:color w:val="auto"/>
                <w:spacing w:val="-2"/>
                <w:kern w:val="0"/>
                <w:sz w:val="24"/>
                <w:szCs w:val="24"/>
                <w:lang w:val="en-US" w:eastAsia="zh-CN" w:bidi="ar-SA"/>
              </w:rPr>
            </w:pPr>
            <w:r>
              <w:rPr>
                <w:rFonts w:hint="default" w:ascii="Times New Roman" w:hAnsi="Times New Roman" w:eastAsia="宋体" w:cs="Times New Roman"/>
                <w:color w:val="auto"/>
                <w:spacing w:val="-2"/>
                <w:kern w:val="0"/>
                <w:sz w:val="24"/>
                <w:szCs w:val="24"/>
                <w:lang w:val="en-US" w:eastAsia="zh-CN" w:bidi="ar-SA"/>
              </w:rPr>
              <w:t>废水均得以妥善处置，最终实现达标排放或回用。地下水、土壤环境保护措施均为技术可行、经济合理、稳定可靠、便于实施的成熟措施，在钻井过程中得到广泛应用。采取上述措施后，本项目实施不会对地下水环境和土壤环境造成不利影响。</w:t>
            </w:r>
          </w:p>
          <w:p>
            <w:pPr>
              <w:pStyle w:val="54"/>
              <w:numPr>
                <w:ilvl w:val="0"/>
                <w:numId w:val="9"/>
              </w:numPr>
              <w:bidi w:val="0"/>
              <w:ind w:left="9" w:leftChars="0" w:firstLineChars="0"/>
              <w:rPr>
                <w:rFonts w:hint="default"/>
                <w:color w:val="auto"/>
              </w:rPr>
            </w:pPr>
            <w:r>
              <w:rPr>
                <w:rFonts w:hint="default"/>
                <w:color w:val="auto"/>
              </w:rPr>
              <w:t>噪声污染防治措施</w:t>
            </w:r>
          </w:p>
          <w:p>
            <w:pPr>
              <w:spacing w:line="520" w:lineRule="exact"/>
              <w:ind w:firstLine="480" w:firstLineChars="200"/>
              <w:rPr>
                <w:color w:val="auto"/>
                <w:sz w:val="24"/>
                <w:szCs w:val="20"/>
              </w:rPr>
            </w:pPr>
            <w:r>
              <w:rPr>
                <w:color w:val="auto"/>
                <w:sz w:val="24"/>
                <w:szCs w:val="20"/>
              </w:rPr>
              <w:t>为有效降低施工噪声对周围的影响，现就施工期噪声控制措施提出以下要求：</w:t>
            </w:r>
          </w:p>
          <w:p>
            <w:pPr>
              <w:pStyle w:val="10"/>
              <w:numPr>
                <w:ilvl w:val="0"/>
                <w:numId w:val="16"/>
              </w:numPr>
              <w:bidi w:val="0"/>
              <w:rPr>
                <w:rFonts w:hint="default"/>
                <w:color w:val="auto"/>
              </w:rPr>
            </w:pPr>
            <w:r>
              <w:rPr>
                <w:rFonts w:hint="default"/>
                <w:color w:val="auto"/>
              </w:rPr>
              <w:t>施工机械采用低噪声设备</w:t>
            </w:r>
            <w:r>
              <w:rPr>
                <w:rFonts w:hint="eastAsia"/>
                <w:color w:val="auto"/>
                <w:lang w:eastAsia="zh-CN"/>
              </w:rPr>
              <w:t>。</w:t>
            </w:r>
          </w:p>
          <w:p>
            <w:pPr>
              <w:pStyle w:val="10"/>
              <w:numPr>
                <w:ilvl w:val="0"/>
                <w:numId w:val="16"/>
              </w:numPr>
              <w:bidi w:val="0"/>
              <w:rPr>
                <w:rFonts w:hint="default"/>
                <w:color w:val="auto"/>
              </w:rPr>
            </w:pPr>
            <w:r>
              <w:rPr>
                <w:rFonts w:hint="default"/>
                <w:color w:val="auto"/>
              </w:rPr>
              <w:t>加强设备维护及保养，对噪声较大的设备采取基础减震措施</w:t>
            </w:r>
            <w:r>
              <w:rPr>
                <w:rFonts w:hint="eastAsia"/>
                <w:color w:val="auto"/>
                <w:lang w:eastAsia="zh-CN"/>
              </w:rPr>
              <w:t>。</w:t>
            </w:r>
          </w:p>
          <w:p>
            <w:pPr>
              <w:pStyle w:val="10"/>
              <w:numPr>
                <w:ilvl w:val="0"/>
                <w:numId w:val="16"/>
              </w:numPr>
              <w:bidi w:val="0"/>
              <w:rPr>
                <w:rFonts w:hint="default"/>
                <w:color w:val="auto"/>
              </w:rPr>
            </w:pPr>
            <w:r>
              <w:rPr>
                <w:rFonts w:hint="default"/>
                <w:color w:val="auto"/>
              </w:rPr>
              <w:t>加强施工场地管理，合理疏导进入施工区的车辆，禁止运输车辆随意高声鸣笛。</w:t>
            </w:r>
          </w:p>
          <w:p>
            <w:pPr>
              <w:pStyle w:val="10"/>
              <w:bidi w:val="0"/>
              <w:rPr>
                <w:rFonts w:hint="default"/>
                <w:color w:val="auto"/>
              </w:rPr>
            </w:pPr>
            <w:r>
              <w:rPr>
                <w:rFonts w:hint="default"/>
                <w:color w:val="auto"/>
              </w:rPr>
              <w:t>在采取上述措施后，施工噪声不会对区域声环境产生明显影响。</w:t>
            </w:r>
          </w:p>
          <w:p>
            <w:pPr>
              <w:pStyle w:val="54"/>
              <w:numPr>
                <w:ilvl w:val="0"/>
                <w:numId w:val="9"/>
              </w:numPr>
              <w:bidi w:val="0"/>
              <w:ind w:left="9" w:leftChars="0" w:firstLineChars="0"/>
              <w:rPr>
                <w:rFonts w:hint="default"/>
                <w:color w:val="auto"/>
              </w:rPr>
            </w:pPr>
            <w:bookmarkStart w:id="121" w:name="_Hlk183349956"/>
            <w:bookmarkStart w:id="122" w:name="_Hlk143015311"/>
            <w:bookmarkStart w:id="123" w:name="_Hlk136795812"/>
            <w:r>
              <w:rPr>
                <w:rFonts w:hint="default"/>
                <w:color w:val="auto"/>
              </w:rPr>
              <w:t>固体废物处置措施</w:t>
            </w:r>
          </w:p>
          <w:bookmarkEnd w:id="121"/>
          <w:p>
            <w:pPr>
              <w:pStyle w:val="10"/>
              <w:bidi w:val="0"/>
              <w:rPr>
                <w:rFonts w:hint="default"/>
                <w:color w:val="auto"/>
              </w:rPr>
            </w:pPr>
            <w:bookmarkStart w:id="124" w:name="_Hlk183355720"/>
            <w:r>
              <w:rPr>
                <w:rFonts w:hint="default"/>
                <w:color w:val="auto"/>
              </w:rPr>
              <w:t>固体废物主要为水基钻井岩屑</w:t>
            </w:r>
            <w:r>
              <w:rPr>
                <w:rFonts w:hint="eastAsia"/>
                <w:color w:val="auto"/>
                <w:lang w:eastAsia="zh-CN"/>
              </w:rPr>
              <w:t>、</w:t>
            </w:r>
            <w:r>
              <w:rPr>
                <w:rFonts w:hint="eastAsia"/>
                <w:color w:val="auto"/>
                <w:lang w:val="en-US" w:eastAsia="zh-CN"/>
              </w:rPr>
              <w:t>油基钻井岩屑、</w:t>
            </w:r>
            <w:r>
              <w:rPr>
                <w:rFonts w:hint="default"/>
                <w:color w:val="auto"/>
              </w:rPr>
              <w:t>废防渗材料、废润滑油及废润滑油桶</w:t>
            </w:r>
            <w:r>
              <w:rPr>
                <w:rFonts w:hint="eastAsia"/>
                <w:color w:val="auto"/>
                <w:lang w:val="en-US" w:eastAsia="zh-CN"/>
              </w:rPr>
              <w:t>、</w:t>
            </w:r>
            <w:r>
              <w:rPr>
                <w:rFonts w:hint="default"/>
                <w:color w:val="auto"/>
              </w:rPr>
              <w:t>生活垃圾、</w:t>
            </w:r>
            <w:r>
              <w:rPr>
                <w:rFonts w:hint="eastAsia"/>
                <w:color w:val="auto"/>
                <w:lang w:val="en-US" w:eastAsia="zh-CN"/>
              </w:rPr>
              <w:t>建筑垃圾</w:t>
            </w:r>
            <w:r>
              <w:rPr>
                <w:rFonts w:hint="default"/>
                <w:color w:val="auto"/>
              </w:rPr>
              <w:t>。</w:t>
            </w:r>
          </w:p>
          <w:p>
            <w:pPr>
              <w:pStyle w:val="10"/>
              <w:bidi w:val="0"/>
              <w:rPr>
                <w:rFonts w:hint="default"/>
                <w:color w:val="auto"/>
              </w:rPr>
            </w:pPr>
            <w:r>
              <w:rPr>
                <w:rFonts w:hint="eastAsia"/>
                <w:color w:val="auto"/>
                <w:lang w:eastAsia="zh-CN"/>
              </w:rPr>
              <w:t>（</w:t>
            </w:r>
            <w:r>
              <w:rPr>
                <w:rFonts w:hint="eastAsia"/>
                <w:color w:val="auto"/>
                <w:lang w:val="en-US" w:eastAsia="zh-CN"/>
              </w:rPr>
              <w:t>1</w:t>
            </w:r>
            <w:r>
              <w:rPr>
                <w:rFonts w:hint="eastAsia"/>
                <w:color w:val="auto"/>
                <w:lang w:eastAsia="zh-CN"/>
              </w:rPr>
              <w:t>）</w:t>
            </w:r>
            <w:r>
              <w:rPr>
                <w:rFonts w:hint="default"/>
                <w:color w:val="auto"/>
              </w:rPr>
              <w:t>水基钻井岩屑</w:t>
            </w:r>
          </w:p>
          <w:p>
            <w:pPr>
              <w:pStyle w:val="10"/>
              <w:bidi w:val="0"/>
              <w:rPr>
                <w:rFonts w:hint="default"/>
                <w:color w:val="auto"/>
                <w:lang w:val="en-US" w:eastAsia="zh-CN"/>
              </w:rPr>
            </w:pPr>
            <w:bookmarkStart w:id="125" w:name="_Hlk183357572"/>
            <w:r>
              <w:rPr>
                <w:rFonts w:hint="eastAsia" w:ascii="Times New Roman" w:hAnsi="Times New Roman" w:eastAsia="宋体" w:cs="Times New Roman"/>
                <w:color w:val="auto"/>
              </w:rPr>
              <mc:AlternateContent>
                <mc:Choice Requires="wpc">
                  <w:drawing>
                    <wp:anchor distT="0" distB="0" distL="114300" distR="114300" simplePos="0" relativeHeight="251661312" behindDoc="0" locked="0" layoutInCell="1" allowOverlap="1">
                      <wp:simplePos x="0" y="0"/>
                      <wp:positionH relativeFrom="column">
                        <wp:posOffset>139065</wp:posOffset>
                      </wp:positionH>
                      <wp:positionV relativeFrom="paragraph">
                        <wp:posOffset>1237615</wp:posOffset>
                      </wp:positionV>
                      <wp:extent cx="4617720" cy="1367155"/>
                      <wp:effectExtent l="0" t="0" r="10160" b="4445"/>
                      <wp:wrapNone/>
                      <wp:docPr id="182" name="画布 18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68" name="矩形 168"/>
                              <wps:cNvSpPr/>
                              <wps:spPr>
                                <a:xfrm>
                                  <a:off x="3571557" y="306012"/>
                                  <a:ext cx="1046663" cy="473819"/>
                                </a:xfrm>
                                <a:prstGeom prst="rect">
                                  <a:avLst/>
                                </a:prstGeom>
                                <a:solidFill>
                                  <a:srgbClr val="FFFFFF"/>
                                </a:solidFill>
                                <a:ln w="6350" cap="flat" cmpd="sng">
                                  <a:solidFill>
                                    <a:srgbClr val="000000"/>
                                  </a:solidFill>
                                  <a:prstDash val="solid"/>
                                  <a:round/>
                                  <a:headEnd type="none" w="med" len="med"/>
                                  <a:tailEnd type="none" w="med" len="med"/>
                                </a:ln>
                              </wps:spPr>
                              <wps:txbx>
                                <w:txbxContent>
                                  <w:p>
                                    <w:pPr>
                                      <w:jc w:val="center"/>
                                      <w:rPr>
                                        <w:rFonts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岩屑方罐暂存后委外拉运处置</w:t>
                                    </w:r>
                                  </w:p>
                                </w:txbxContent>
                              </wps:txbx>
                              <wps:bodyPr anchor="ctr" anchorCtr="0" upright="1"/>
                            </wps:wsp>
                            <wps:wsp>
                              <wps:cNvPr id="169" name="直接箭头连接符 169"/>
                              <wps:cNvCnPr/>
                              <wps:spPr>
                                <a:xfrm flipV="1">
                                  <a:off x="2871048" y="542922"/>
                                  <a:ext cx="700509" cy="2500"/>
                                </a:xfrm>
                                <a:prstGeom prst="straightConnector1">
                                  <a:avLst/>
                                </a:prstGeom>
                                <a:ln w="9525" cap="flat" cmpd="sng">
                                  <a:solidFill>
                                    <a:srgbClr val="000000"/>
                                  </a:solidFill>
                                  <a:prstDash val="solid"/>
                                  <a:headEnd type="none" w="med" len="med"/>
                                  <a:tailEnd type="arrow" w="med" len="med"/>
                                </a:ln>
                              </wps:spPr>
                              <wps:bodyPr/>
                            </wps:wsp>
                            <wps:wsp>
                              <wps:cNvPr id="170" name="矩形 170"/>
                              <wps:cNvSpPr/>
                              <wps:spPr>
                                <a:xfrm>
                                  <a:off x="1934902" y="1104244"/>
                                  <a:ext cx="1397218" cy="262911"/>
                                </a:xfrm>
                                <a:prstGeom prst="rect">
                                  <a:avLst/>
                                </a:prstGeom>
                                <a:solidFill>
                                  <a:srgbClr val="FFFFFF"/>
                                </a:solidFill>
                                <a:ln w="6350" cap="flat" cmpd="sng">
                                  <a:solidFill>
                                    <a:srgbClr val="000000"/>
                                  </a:solidFill>
                                  <a:prstDash val="solid"/>
                                  <a:round/>
                                  <a:headEnd type="none" w="med" len="med"/>
                                  <a:tailEnd type="none" w="med" len="med"/>
                                </a:ln>
                              </wps:spPr>
                              <wps:txbx>
                                <w:txbxContent>
                                  <w:p>
                                    <w:pPr>
                                      <w:jc w:val="center"/>
                                      <w:rPr>
                                        <w:rFonts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回用于钻井液配置</w:t>
                                    </w:r>
                                  </w:p>
                                </w:txbxContent>
                              </wps:txbx>
                              <wps:bodyPr anchor="ctr" anchorCtr="0" upright="1"/>
                            </wps:wsp>
                            <wps:wsp>
                              <wps:cNvPr id="171" name="直接箭头连接符 171"/>
                              <wps:cNvCnPr/>
                              <wps:spPr>
                                <a:xfrm>
                                  <a:off x="2632911" y="676927"/>
                                  <a:ext cx="600" cy="427317"/>
                                </a:xfrm>
                                <a:prstGeom prst="straightConnector1">
                                  <a:avLst/>
                                </a:prstGeom>
                                <a:ln w="9525" cap="flat" cmpd="sng">
                                  <a:solidFill>
                                    <a:srgbClr val="000000"/>
                                  </a:solidFill>
                                  <a:prstDash val="solid"/>
                                  <a:headEnd type="none" w="med" len="med"/>
                                  <a:tailEnd type="arrow" w="med" len="med"/>
                                </a:ln>
                              </wps:spPr>
                              <wps:bodyPr/>
                            </wps:wsp>
                            <wps:wsp>
                              <wps:cNvPr id="172" name="矩形 172"/>
                              <wps:cNvSpPr/>
                              <wps:spPr>
                                <a:xfrm>
                                  <a:off x="2594805" y="751230"/>
                                  <a:ext cx="469273" cy="262911"/>
                                </a:xfrm>
                                <a:prstGeom prst="rect">
                                  <a:avLst/>
                                </a:prstGeom>
                                <a:noFill/>
                                <a:ln w="6350">
                                  <a:noFill/>
                                </a:ln>
                              </wps:spPr>
                              <wps:txbx>
                                <w:txbxContent>
                                  <w:p>
                                    <w:pPr>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液相</w:t>
                                    </w:r>
                                  </w:p>
                                </w:txbxContent>
                              </wps:txbx>
                              <wps:bodyPr anchor="ctr" anchorCtr="0" upright="1"/>
                            </wps:wsp>
                            <wps:wsp>
                              <wps:cNvPr id="173" name="矩形 173"/>
                              <wps:cNvSpPr/>
                              <wps:spPr>
                                <a:xfrm>
                                  <a:off x="2925056" y="290112"/>
                                  <a:ext cx="683307" cy="504320"/>
                                </a:xfrm>
                                <a:prstGeom prst="rect">
                                  <a:avLst/>
                                </a:prstGeom>
                                <a:noFill/>
                                <a:ln w="6350">
                                  <a:noFill/>
                                </a:ln>
                              </wps:spPr>
                              <wps:txbx>
                                <w:txbxContent>
                                  <w:p>
                                    <w:pPr>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水基钻井岩屑</w:t>
                                    </w:r>
                                  </w:p>
                                </w:txbxContent>
                              </wps:txbx>
                              <wps:bodyPr anchor="ctr" anchorCtr="0" upright="1"/>
                            </wps:wsp>
                            <wps:wsp>
                              <wps:cNvPr id="174" name="矩形 174"/>
                              <wps:cNvSpPr/>
                              <wps:spPr>
                                <a:xfrm>
                                  <a:off x="35906" y="315513"/>
                                  <a:ext cx="783122" cy="470619"/>
                                </a:xfrm>
                                <a:prstGeom prst="rect">
                                  <a:avLst/>
                                </a:prstGeom>
                                <a:noFill/>
                                <a:ln w="6350">
                                  <a:noFill/>
                                </a:ln>
                              </wps:spPr>
                              <wps:txbx>
                                <w:txbxContent>
                                  <w:p>
                                    <w:pPr>
                                      <w:jc w:val="center"/>
                                      <w:rPr>
                                        <w:rFonts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钻井液及岩屑</w:t>
                                    </w:r>
                                  </w:p>
                                </w:txbxContent>
                              </wps:txbx>
                              <wps:bodyPr anchor="ctr" anchorCtr="0" upright="1"/>
                            </wps:wsp>
                            <wps:wsp>
                              <wps:cNvPr id="175" name="矩形 175"/>
                              <wps:cNvSpPr/>
                              <wps:spPr>
                                <a:xfrm>
                                  <a:off x="1598349" y="420917"/>
                                  <a:ext cx="458471" cy="263611"/>
                                </a:xfrm>
                                <a:prstGeom prst="rect">
                                  <a:avLst/>
                                </a:prstGeom>
                                <a:solidFill>
                                  <a:srgbClr val="FFFFFF"/>
                                </a:solidFill>
                                <a:ln w="6350" cap="flat" cmpd="sng">
                                  <a:solidFill>
                                    <a:srgbClr val="000000"/>
                                  </a:solidFill>
                                  <a:prstDash val="solid"/>
                                  <a:round/>
                                  <a:headEnd type="none" w="med" len="med"/>
                                  <a:tailEnd type="none" w="med" len="med"/>
                                </a:ln>
                              </wps:spPr>
                              <wps:txbx>
                                <w:txbxContent>
                                  <w:p>
                                    <w:pPr>
                                      <w:jc w:val="center"/>
                                      <w:rPr>
                                        <w:rFonts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振动</w:t>
                                    </w:r>
                                  </w:p>
                                </w:txbxContent>
                              </wps:txbx>
                              <wps:bodyPr anchor="ctr" anchorCtr="0" upright="1"/>
                            </wps:wsp>
                            <wps:wsp>
                              <wps:cNvPr id="176" name="矩形 176"/>
                              <wps:cNvSpPr/>
                              <wps:spPr>
                                <a:xfrm>
                                  <a:off x="2394073" y="413917"/>
                                  <a:ext cx="476974" cy="263011"/>
                                </a:xfrm>
                                <a:prstGeom prst="rect">
                                  <a:avLst/>
                                </a:prstGeom>
                                <a:solidFill>
                                  <a:srgbClr val="FFFFFF"/>
                                </a:solidFill>
                                <a:ln w="6350" cap="flat" cmpd="sng">
                                  <a:solidFill>
                                    <a:srgbClr val="000000"/>
                                  </a:solidFill>
                                  <a:prstDash val="solid"/>
                                  <a:round/>
                                  <a:headEnd type="none" w="med" len="med"/>
                                  <a:tailEnd type="none" w="med" len="med"/>
                                </a:ln>
                              </wps:spPr>
                              <wps:txbx>
                                <w:txbxContent>
                                  <w:p>
                                    <w:pPr>
                                      <w:jc w:val="center"/>
                                      <w:rPr>
                                        <w:rFonts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离心</w:t>
                                    </w:r>
                                  </w:p>
                                </w:txbxContent>
                              </wps:txbx>
                              <wps:bodyPr anchor="ctr" anchorCtr="0" upright="1"/>
                            </wps:wsp>
                            <wps:wsp>
                              <wps:cNvPr id="177" name="直接箭头连接符 177"/>
                              <wps:cNvCnPr/>
                              <wps:spPr>
                                <a:xfrm flipV="1">
                                  <a:off x="2056821" y="545422"/>
                                  <a:ext cx="337253" cy="7700"/>
                                </a:xfrm>
                                <a:prstGeom prst="straightConnector1">
                                  <a:avLst/>
                                </a:prstGeom>
                                <a:ln w="9525" cap="flat" cmpd="sng">
                                  <a:solidFill>
                                    <a:srgbClr val="000000"/>
                                  </a:solidFill>
                                  <a:prstDash val="solid"/>
                                  <a:headEnd type="none" w="med" len="med"/>
                                  <a:tailEnd type="arrow" w="med" len="med"/>
                                </a:ln>
                              </wps:spPr>
                              <wps:bodyPr/>
                            </wps:wsp>
                            <wps:wsp>
                              <wps:cNvPr id="178" name="矩形 178"/>
                              <wps:cNvSpPr/>
                              <wps:spPr>
                                <a:xfrm>
                                  <a:off x="965150" y="179607"/>
                                  <a:ext cx="2031617" cy="579223"/>
                                </a:xfrm>
                                <a:prstGeom prst="rect">
                                  <a:avLst/>
                                </a:prstGeom>
                                <a:solidFill>
                                  <a:srgbClr val="000000">
                                    <a:alpha val="0"/>
                                  </a:srgbClr>
                                </a:solidFill>
                                <a:ln w="25400" cap="flat" cmpd="sng">
                                  <a:solidFill>
                                    <a:srgbClr val="00B0F0"/>
                                  </a:solidFill>
                                  <a:prstDash val="dash"/>
                                  <a:round/>
                                  <a:headEnd type="none" w="med" len="med"/>
                                  <a:tailEnd type="none" w="med" len="med"/>
                                </a:ln>
                              </wps:spPr>
                              <wps:bodyPr anchor="ctr" anchorCtr="0" upright="1"/>
                            </wps:wsp>
                            <wps:wsp>
                              <wps:cNvPr id="179" name="直接箭头连接符 179"/>
                              <wps:cNvCnPr/>
                              <wps:spPr>
                                <a:xfrm>
                                  <a:off x="819028" y="551222"/>
                                  <a:ext cx="779322" cy="1900"/>
                                </a:xfrm>
                                <a:prstGeom prst="straightConnector1">
                                  <a:avLst/>
                                </a:prstGeom>
                                <a:ln w="9525" cap="flat" cmpd="sng">
                                  <a:solidFill>
                                    <a:srgbClr val="000000"/>
                                  </a:solidFill>
                                  <a:prstDash val="solid"/>
                                  <a:headEnd type="none" w="med" len="med"/>
                                  <a:tailEnd type="arrow" w="med" len="med"/>
                                </a:ln>
                              </wps:spPr>
                              <wps:bodyPr/>
                            </wps:wsp>
                            <wps:wsp>
                              <wps:cNvPr id="180" name="矩形 180"/>
                              <wps:cNvSpPr/>
                              <wps:spPr>
                                <a:xfrm>
                                  <a:off x="1732970" y="179607"/>
                                  <a:ext cx="1138077" cy="296512"/>
                                </a:xfrm>
                                <a:prstGeom prst="rect">
                                  <a:avLst/>
                                </a:prstGeom>
                                <a:noFill/>
                                <a:ln w="6350">
                                  <a:noFill/>
                                </a:ln>
                              </wps:spPr>
                              <wps:txbx>
                                <w:txbxContent>
                                  <w:p>
                                    <w:pPr>
                                      <w:jc w:val="center"/>
                                      <w:rPr>
                                        <w:rFonts w:ascii="Times New Roman" w:hAnsi="Times New Roman" w:eastAsia="宋体" w:cs="Times New Roman"/>
                                        <w:b/>
                                        <w:bCs/>
                                        <w:color w:val="00B0F0"/>
                                        <w:sz w:val="21"/>
                                        <w:szCs w:val="21"/>
                                      </w:rPr>
                                    </w:pPr>
                                    <w:r>
                                      <w:rPr>
                                        <w:rFonts w:hint="eastAsia" w:ascii="Times New Roman" w:hAnsi="Times New Roman" w:eastAsia="宋体" w:cs="Times New Roman"/>
                                        <w:b/>
                                        <w:bCs/>
                                        <w:color w:val="00B0F0"/>
                                        <w:sz w:val="21"/>
                                        <w:szCs w:val="21"/>
                                      </w:rPr>
                                      <w:t>不落地设备</w:t>
                                    </w:r>
                                  </w:p>
                                </w:txbxContent>
                              </wps:txbx>
                              <wps:bodyPr anchor="ctr" anchorCtr="0" upright="1"/>
                            </wps:wsp>
                            <wps:wsp>
                              <wps:cNvPr id="181" name="矩形 181"/>
                              <wps:cNvSpPr/>
                              <wps:spPr>
                                <a:xfrm>
                                  <a:off x="921944" y="288212"/>
                                  <a:ext cx="683307" cy="504320"/>
                                </a:xfrm>
                                <a:prstGeom prst="rect">
                                  <a:avLst/>
                                </a:prstGeom>
                                <a:noFill/>
                                <a:ln w="6350">
                                  <a:noFill/>
                                </a:ln>
                              </wps:spPr>
                              <wps:txbx>
                                <w:txbxContent>
                                  <w:p>
                                    <w:pPr>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进罐</w:t>
                                    </w:r>
                                  </w:p>
                                  <w:p>
                                    <w:pPr>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不落地</w:t>
                                    </w:r>
                                  </w:p>
                                </w:txbxContent>
                              </wps:txbx>
                              <wps:bodyPr anchor="ctr" anchorCtr="0" upright="1"/>
                            </wps:wsp>
                          </wpc:wpc>
                        </a:graphicData>
                      </a:graphic>
                    </wp:anchor>
                  </w:drawing>
                </mc:Choice>
                <mc:Fallback>
                  <w:pict>
                    <v:group id="_x0000_s1026" o:spid="_x0000_s1026" o:spt="203" style="position:absolute;left:0pt;margin-left:10.95pt;margin-top:97.45pt;height:107.65pt;width:363.6pt;z-index:251661312;mso-width-relative:page;mso-height-relative:page;" coordsize="4617720,1367155" editas="canvas" o:gfxdata="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">
                      <o:lock v:ext="edit" aspectratio="f"/>
                      <v:shape id="_x0000_s1026" o:spid="_x0000_s1026" style="position:absolute;left:0;top:0;height:1367155;width:4617720;" filled="f" stroked="f" coordsize="21600,21600" o:gfxdata="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">
                        <v:fill on="f" focussize="0,0"/>
                        <v:stroke on="f"/>
                        <v:imagedata o:title=""/>
                        <o:lock v:ext="edit" aspectratio="t"/>
                      </v:shape>
                      <v:rect id="_x0000_s1026" o:spid="_x0000_s1026" o:spt="1" style="position:absolute;left:3571557;top:306012;height:473819;width:1046663;v-text-anchor:middle;" fillcolor="#FFFFFF" filled="t" stroked="t" coordsize="21600,21600" o:gfxdata="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Yc1Em1wAA&#10;AAoBAAAPAAAAAAAAAAEAIAAAACIAAABkcnMvZG93bnJldi54bWxQSwECFAAUAAAACACHTuJAm3Q5&#10;LB8CAABTBAAADgAAAAAAAAABACAAAAAmAQAAZHJzL2Uyb0RvYy54bWxQSwUGAAAAAAYABgBZAQAA&#10;twUAAAAA&#10;">
                        <v:fill on="t" focussize="0,0"/>
                        <v:stroke weight="0.5pt" color="#000000" joinstyle="round"/>
                        <v:imagedata o:title=""/>
                        <o:lock v:ext="edit" aspectratio="f"/>
                        <v:textbox>
                          <w:txbxContent>
                            <w:p>
                              <w:pPr>
                                <w:jc w:val="center"/>
                                <w:rPr>
                                  <w:rFonts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岩屑方罐暂存后委外拉运处置</w:t>
                              </w:r>
                            </w:p>
                          </w:txbxContent>
                        </v:textbox>
                      </v:rect>
                      <v:shape id="_x0000_s1026" o:spid="_x0000_s1026" o:spt="32" type="#_x0000_t32" style="position:absolute;left:2871048;top:542922;flip:y;height:2500;width:700509;" filled="f" stroked="t" coordsize="21600,21600" o:gfxdata="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0DjY11wAAAAoB&#10;AAAPAAAAAAAAAAEAIAAAACIAAABkcnMvZG93bnJldi54bWxQSwECFAAUAAAACACHTuJAlhBX4xwC&#10;AAAIBAAADgAAAAAAAAABACAAAAAmAQAAZHJzL2Uyb0RvYy54bWxQSwUGAAAAAAYABgBZAQAAtAUA&#10;AAAA&#10;">
                        <v:fill on="f" focussize="0,0"/>
                        <v:stroke color="#000000" joinstyle="round" endarrow="open"/>
                        <v:imagedata o:title=""/>
                        <o:lock v:ext="edit" aspectratio="f"/>
                      </v:shape>
                      <v:rect id="_x0000_s1026" o:spid="_x0000_s1026" o:spt="1" style="position:absolute;left:1934902;top:1104244;height:262911;width:1397218;v-text-anchor:middle;" fillcolor="#FFFFFF" filled="t" stroked="t" coordsize="21600,21600" o:gfxdata="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mHNRJtcAAAAK&#10;AQAADwAAAAAAAAABACAAAAAiAAAAZHJzL2Rvd25yZXYueG1sUEsBAhQAFAAAAAgAh07iQCt2nkYd&#10;AgAAVAQAAA4AAAAAAAAAAQAgAAAAJgEAAGRycy9lMm9Eb2MueG1sUEsFBgAAAAAGAAYAWQEAALUF&#10;AAAAAA==&#10;">
                        <v:fill on="t" focussize="0,0"/>
                        <v:stroke weight="0.5pt" color="#000000" joinstyle="round"/>
                        <v:imagedata o:title=""/>
                        <o:lock v:ext="edit" aspectratio="f"/>
                        <v:textbox>
                          <w:txbxContent>
                            <w:p>
                              <w:pPr>
                                <w:jc w:val="center"/>
                                <w:rPr>
                                  <w:rFonts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回用于钻井液配置</w:t>
                              </w:r>
                            </w:p>
                          </w:txbxContent>
                        </v:textbox>
                      </v:rect>
                      <v:shape id="_x0000_s1026" o:spid="_x0000_s1026" o:spt="32" type="#_x0000_t32" style="position:absolute;left:2632911;top:676927;height:427317;width:600;" filled="f" stroked="t" coordsize="21600,21600" o:gfxdata="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OTcA5XXAAAACgEAAA8AAAAA&#10;AAAAAQAgAAAAIgAAAGRycy9kb3ducmV2LnhtbFBLAQIUABQAAAAIAIdO4kBC42BJFQIAAP0DAAAO&#10;AAAAAAAAAAEAIAAAACYBAABkcnMvZTJvRG9jLnhtbFBLBQYAAAAABgAGAFkBAACtBQAAAAA=&#10;">
                        <v:fill on="f" focussize="0,0"/>
                        <v:stroke color="#000000" joinstyle="round" endarrow="open"/>
                        <v:imagedata o:title=""/>
                        <o:lock v:ext="edit" aspectratio="f"/>
                      </v:shape>
                      <v:rect id="_x0000_s1026" o:spid="_x0000_s1026" o:spt="1" style="position:absolute;left:2594805;top:751230;height:262911;width:469273;v-text-anchor:middle;" filled="f" stroked="f" coordsize="21600,21600" o:gfxdata="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la5Q5NkAAAAKAQAADwAAAAAAAAABACAAAAAiAAAAZHJzL2Rv&#10;d25yZXYueG1sUEsBAhQAFAAAAAgAh07iQCtADtrHAQAAcwMAAA4AAAAAAAAAAQAgAAAAKAEAAGRy&#10;cy9lMm9Eb2MueG1sUEsFBgAAAAAGAAYAWQEAAGEFAAAAAA==&#10;">
                        <v:fill on="f" focussize="0,0"/>
                        <v:stroke on="f" weight="0.5pt"/>
                        <v:imagedata o:title=""/>
                        <o:lock v:ext="edit" aspectratio="f"/>
                        <v:textbox>
                          <w:txbxContent>
                            <w:p>
                              <w:pPr>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液相</w:t>
                              </w:r>
                            </w:p>
                          </w:txbxContent>
                        </v:textbox>
                      </v:rect>
                      <v:rect id="_x0000_s1026" o:spid="_x0000_s1026" o:spt="1" style="position:absolute;left:2925056;top:290112;height:504320;width:683307;v-text-anchor:middle;" filled="f" stroked="f" coordsize="21600,21600" o:gfxdata="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JWuUOTZAAAACgEAAA8AAAAAAAAAAQAgAAAAIgAAAGRycy9kb3du&#10;cmV2LnhtbFBLAQIUABQAAAAIAIdO4kDxv26CxQEAAHMDAAAOAAAAAAAAAAEAIAAAACgBAABkcnMv&#10;ZTJvRG9jLnhtbFBLBQYAAAAABgAGAFkBAABfBQAAAAA=&#10;">
                        <v:fill on="f" focussize="0,0"/>
                        <v:stroke on="f" weight="0.5pt"/>
                        <v:imagedata o:title=""/>
                        <o:lock v:ext="edit" aspectratio="f"/>
                        <v:textbox>
                          <w:txbxContent>
                            <w:p>
                              <w:pPr>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水基钻井岩屑</w:t>
                              </w:r>
                            </w:p>
                          </w:txbxContent>
                        </v:textbox>
                      </v:rect>
                      <v:rect id="_x0000_s1026" o:spid="_x0000_s1026" o:spt="1" style="position:absolute;left:35906;top:315513;height:470619;width:783122;v-text-anchor:middle;" filled="f" stroked="f" coordsize="21600,21600" o:gfxdata="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VrlDk2QAAAAoBAAAPAAAAAAAAAAEAIAAAACIAAABkcnMvZG93&#10;bnJldi54bWxQSwECFAAUAAAACACHTuJA9kuMXMYBAABxAwAADgAAAAAAAAABACAAAAAoAQAAZHJz&#10;L2Uyb0RvYy54bWxQSwUGAAAAAAYABgBZAQAAYAUAAAAA&#10;">
                        <v:fill on="f" focussize="0,0"/>
                        <v:stroke on="f" weight="0.5pt"/>
                        <v:imagedata o:title=""/>
                        <o:lock v:ext="edit" aspectratio="f"/>
                        <v:textbox>
                          <w:txbxContent>
                            <w:p>
                              <w:pPr>
                                <w:jc w:val="center"/>
                                <w:rPr>
                                  <w:rFonts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钻井液及岩屑</w:t>
                              </w:r>
                            </w:p>
                          </w:txbxContent>
                        </v:textbox>
                      </v:rect>
                      <v:rect id="_x0000_s1026" o:spid="_x0000_s1026" o:spt="1" style="position:absolute;left:1598349;top:420917;height:263611;width:458471;v-text-anchor:middle;" fillcolor="#FFFFFF" filled="t" stroked="t" coordsize="21600,21600" o:gfxdata="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mHNRJtcAAAAK&#10;AQAADwAAAAAAAAABACAAAAAiAAAAZHJzL2Rvd25yZXYueG1sUEsBAhQAFAAAAAgAh07iQJ43KV0d&#10;AgAAUgQAAA4AAAAAAAAAAQAgAAAAJgEAAGRycy9lMm9Eb2MueG1sUEsFBgAAAAAGAAYAWQEAALUF&#10;AAAAAA==&#10;">
                        <v:fill on="t" focussize="0,0"/>
                        <v:stroke weight="0.5pt" color="#000000" joinstyle="round"/>
                        <v:imagedata o:title=""/>
                        <o:lock v:ext="edit" aspectratio="f"/>
                        <v:textbox>
                          <w:txbxContent>
                            <w:p>
                              <w:pPr>
                                <w:jc w:val="center"/>
                                <w:rPr>
                                  <w:rFonts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振动</w:t>
                              </w:r>
                            </w:p>
                          </w:txbxContent>
                        </v:textbox>
                      </v:rect>
                      <v:rect id="_x0000_s1026" o:spid="_x0000_s1026" o:spt="1" style="position:absolute;left:2394073;top:413917;height:263011;width:476974;v-text-anchor:middle;" fillcolor="#FFFFFF" filled="t" stroked="t" coordsize="21600,21600" o:gfxdata="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Yc1Em1wAA&#10;AAoBAAAPAAAAAAAAAAEAIAAAACIAAABkcnMvZG93bnJldi54bWxQSwECFAAUAAAACACHTuJA3WHZ&#10;iB8CAABSBAAADgAAAAAAAAABACAAAAAmAQAAZHJzL2Uyb0RvYy54bWxQSwUGAAAAAAYABgBZAQAA&#10;twUAAAAA&#10;">
                        <v:fill on="t" focussize="0,0"/>
                        <v:stroke weight="0.5pt" color="#000000" joinstyle="round"/>
                        <v:imagedata o:title=""/>
                        <o:lock v:ext="edit" aspectratio="f"/>
                        <v:textbox>
                          <w:txbxContent>
                            <w:p>
                              <w:pPr>
                                <w:jc w:val="center"/>
                                <w:rPr>
                                  <w:rFonts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离心</w:t>
                              </w:r>
                            </w:p>
                          </w:txbxContent>
                        </v:textbox>
                      </v:rect>
                      <v:shape id="_x0000_s1026" o:spid="_x0000_s1026" o:spt="32" type="#_x0000_t32" style="position:absolute;left:2056821;top:545422;flip:y;height:7700;width:337253;" filled="f" stroked="t" coordsize="21600,21600" o:gfxdata="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QONjXXAAAA&#10;CgEAAA8AAAAAAAAAAQAgAAAAIgAAAGRycy9kb3ducmV2LnhtbFBLAQIUABQAAAAIAIdO4kAw6NW4&#10;HgIAAAgEAAAOAAAAAAAAAAEAIAAAACYBAABkcnMvZTJvRG9jLnhtbFBLBQYAAAAABgAGAFkBAAC2&#10;BQAAAAA=&#10;">
                        <v:fill on="f" focussize="0,0"/>
                        <v:stroke color="#000000" joinstyle="round" endarrow="open"/>
                        <v:imagedata o:title=""/>
                        <o:lock v:ext="edit" aspectratio="f"/>
                      </v:shape>
                      <v:rect id="_x0000_s1026" o:spid="_x0000_s1026" o:spt="1" style="position:absolute;left:965150;top:179607;height:579223;width:2031617;v-text-anchor:middle;" fillcolor="#000000" filled="t" stroked="t" coordsize="21600,21600" o:gfxdata="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ObEcLNkAAAAKAQAADwAAAAAAAAABACAAAAAiAAAAZHJzL2Rvd25yZXYueG1sUEsBAhQAFAAA&#10;AAgAh07iQHxeZ0QnAgAAZAQAAA4AAAAAAAAAAQAgAAAAKAEAAGRycy9lMm9Eb2MueG1sUEsFBgAA&#10;AAAGAAYAWQEAAMEFAAAAAA==&#10;">
                        <v:fill on="t" opacity="0f" focussize="0,0"/>
                        <v:stroke weight="2pt" color="#00B0F0" joinstyle="round" dashstyle="dash"/>
                        <v:imagedata o:title=""/>
                        <o:lock v:ext="edit" aspectratio="f"/>
                      </v:rect>
                      <v:shape id="_x0000_s1026" o:spid="_x0000_s1026" o:spt="32" type="#_x0000_t32" style="position:absolute;left:819028;top:551222;height:1900;width:779322;" filled="f" stroked="t" coordsize="21600,21600" o:gfxdata="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k3AOV1wAAAAoBAAAPAAAAAAAA&#10;AAEAIAAAACIAAABkcnMvZG93bnJldi54bWxQSwECFAAUAAAACACHTuJA8ithxxMCAAD9AwAADgAA&#10;AAAAAAABACAAAAAmAQAAZHJzL2Uyb0RvYy54bWxQSwUGAAAAAAYABgBZAQAAqwUAAAAA&#10;">
                        <v:fill on="f" focussize="0,0"/>
                        <v:stroke color="#000000" joinstyle="round" endarrow="open"/>
                        <v:imagedata o:title=""/>
                        <o:lock v:ext="edit" aspectratio="f"/>
                      </v:shape>
                      <v:rect id="_x0000_s1026" o:spid="_x0000_s1026" o:spt="1" style="position:absolute;left:1732970;top:179607;height:296512;width:1138077;v-text-anchor:middle;" filled="f" stroked="f" coordsize="21600,21600" o:gfxdata="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JWuUOTZAAAACgEAAA8AAAAAAAAAAQAgAAAAIgAAAGRycy9kb3du&#10;cmV2LnhtbFBLAQIUABQAAAAIAIdO4kAXhQItxQEAAHQDAAAOAAAAAAAAAAEAIAAAACgBAABkcnMv&#10;ZTJvRG9jLnhtbFBLBQYAAAAABgAGAFkBAABfBQAAAAA=&#10;">
                        <v:fill on="f" focussize="0,0"/>
                        <v:stroke on="f" weight="0.5pt"/>
                        <v:imagedata o:title=""/>
                        <o:lock v:ext="edit" aspectratio="f"/>
                        <v:textbox>
                          <w:txbxContent>
                            <w:p>
                              <w:pPr>
                                <w:jc w:val="center"/>
                                <w:rPr>
                                  <w:rFonts w:ascii="Times New Roman" w:hAnsi="Times New Roman" w:eastAsia="宋体" w:cs="Times New Roman"/>
                                  <w:b/>
                                  <w:bCs/>
                                  <w:color w:val="00B0F0"/>
                                  <w:sz w:val="21"/>
                                  <w:szCs w:val="21"/>
                                </w:rPr>
                              </w:pPr>
                              <w:r>
                                <w:rPr>
                                  <w:rFonts w:hint="eastAsia" w:ascii="Times New Roman" w:hAnsi="Times New Roman" w:eastAsia="宋体" w:cs="Times New Roman"/>
                                  <w:b/>
                                  <w:bCs/>
                                  <w:color w:val="00B0F0"/>
                                  <w:sz w:val="21"/>
                                  <w:szCs w:val="21"/>
                                </w:rPr>
                                <w:t>不落地设备</w:t>
                              </w:r>
                            </w:p>
                          </w:txbxContent>
                        </v:textbox>
                      </v:rect>
                      <v:rect id="_x0000_s1026" o:spid="_x0000_s1026" o:spt="1" style="position:absolute;left:921944;top:288212;height:504320;width:683307;v-text-anchor:middle;" filled="f" stroked="f" coordsize="21600,21600" o:gfxdata="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VrlDk2QAAAAoBAAAPAAAAAAAAAAEAIAAAACIAAABkcnMvZG93&#10;bnJldi54bWxQSwECFAAUAAAACACHTuJAIiDMvcYBAAByAwAADgAAAAAAAAABACAAAAAoAQAAZHJz&#10;L2Uyb0RvYy54bWxQSwUGAAAAAAYABgBZAQAAYAUAAAAA&#10;">
                        <v:fill on="f" focussize="0,0"/>
                        <v:stroke on="f" weight="0.5pt"/>
                        <v:imagedata o:title=""/>
                        <o:lock v:ext="edit" aspectratio="f"/>
                        <v:textbox>
                          <w:txbxContent>
                            <w:p>
                              <w:pPr>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进罐</w:t>
                              </w:r>
                            </w:p>
                            <w:p>
                              <w:pPr>
                                <w:jc w:val="center"/>
                                <w:rPr>
                                  <w:rFonts w:ascii="Times New Roman" w:hAnsi="Times New Roman" w:eastAsia="宋体" w:cs="Times New Roman"/>
                                  <w:color w:val="000000"/>
                                  <w:sz w:val="18"/>
                                  <w:szCs w:val="18"/>
                                </w:rPr>
                              </w:pPr>
                              <w:r>
                                <w:rPr>
                                  <w:rFonts w:hint="eastAsia" w:ascii="Times New Roman" w:hAnsi="Times New Roman" w:eastAsia="宋体" w:cs="Times New Roman"/>
                                  <w:color w:val="000000"/>
                                  <w:sz w:val="18"/>
                                  <w:szCs w:val="18"/>
                                </w:rPr>
                                <w:t>不落地</w:t>
                              </w:r>
                            </w:p>
                          </w:txbxContent>
                        </v:textbox>
                      </v:rect>
                    </v:group>
                  </w:pict>
                </mc:Fallback>
              </mc:AlternateContent>
            </w:r>
            <w:r>
              <w:rPr>
                <w:rFonts w:hint="default"/>
                <w:color w:val="auto"/>
                <w:lang w:val="en-US" w:eastAsia="zh-CN"/>
              </w:rPr>
              <w:t>项目</w:t>
            </w:r>
            <w:r>
              <w:rPr>
                <w:rFonts w:hint="eastAsia"/>
                <w:color w:val="auto"/>
                <w:lang w:val="en-US" w:eastAsia="zh-CN"/>
              </w:rPr>
              <w:t>钻井期一开</w:t>
            </w:r>
            <w:r>
              <w:rPr>
                <w:rFonts w:hint="default"/>
                <w:color w:val="auto"/>
              </w:rPr>
              <w:t>采用水基钻井液，钻井时井筒返排的钻井液及岩屑经不落地设备分离，分离出的液相回用于水基钻井液配置，分离出的水基钻井岩屑暂存于水基钻井岩屑方罐中</w:t>
            </w:r>
            <w:bookmarkStart w:id="126" w:name="_Hlk69139413"/>
            <w:r>
              <w:rPr>
                <w:rFonts w:hint="default"/>
                <w:color w:val="auto"/>
              </w:rPr>
              <w:t>，</w:t>
            </w:r>
            <w:r>
              <w:rPr>
                <w:rFonts w:hint="default"/>
                <w:color w:val="auto"/>
                <w:lang w:val="en-US" w:eastAsia="zh-CN"/>
              </w:rPr>
              <w:t>委托具有相应经营许可单位清运处置。</w:t>
            </w:r>
            <w:r>
              <w:rPr>
                <w:rFonts w:hint="eastAsia"/>
                <w:color w:val="auto"/>
                <w:lang w:val="en-US" w:eastAsia="zh-CN"/>
              </w:rPr>
              <w:t>水基岩屑处理工艺流程见下图。</w:t>
            </w:r>
          </w:p>
          <w:p>
            <w:pPr>
              <w:pStyle w:val="10"/>
              <w:bidi w:val="0"/>
              <w:rPr>
                <w:rFonts w:hint="eastAsia" w:ascii="Times New Roman" w:hAnsi="Times New Roman" w:eastAsia="宋体" w:cs="Times New Roman"/>
                <w:color w:val="auto"/>
                <w:kern w:val="2"/>
                <w:sz w:val="24"/>
                <w:szCs w:val="24"/>
                <w:lang w:val="en-US" w:eastAsia="zh-CN" w:bidi="ar"/>
              </w:rPr>
            </w:pPr>
          </w:p>
          <w:p>
            <w:pPr>
              <w:pStyle w:val="10"/>
              <w:bidi w:val="0"/>
              <w:rPr>
                <w:rFonts w:hint="eastAsia" w:ascii="Times New Roman" w:hAnsi="Times New Roman" w:eastAsia="宋体" w:cs="Times New Roman"/>
                <w:color w:val="auto"/>
                <w:kern w:val="2"/>
                <w:sz w:val="24"/>
                <w:szCs w:val="24"/>
                <w:lang w:val="en-US" w:eastAsia="zh-CN" w:bidi="ar"/>
              </w:rPr>
            </w:pPr>
          </w:p>
          <w:p>
            <w:pPr>
              <w:pStyle w:val="10"/>
              <w:bidi w:val="0"/>
              <w:rPr>
                <w:rFonts w:hint="eastAsia" w:ascii="Times New Roman" w:hAnsi="Times New Roman" w:eastAsia="宋体" w:cs="Times New Roman"/>
                <w:color w:val="auto"/>
                <w:kern w:val="2"/>
                <w:sz w:val="24"/>
                <w:szCs w:val="24"/>
                <w:lang w:val="en-US" w:eastAsia="zh-CN" w:bidi="ar"/>
              </w:rPr>
            </w:pPr>
          </w:p>
          <w:p>
            <w:pPr>
              <w:pStyle w:val="10"/>
              <w:bidi w:val="0"/>
              <w:rPr>
                <w:rFonts w:hint="eastAsia" w:ascii="Times New Roman" w:hAnsi="Times New Roman" w:eastAsia="宋体" w:cs="Times New Roman"/>
                <w:color w:val="auto"/>
                <w:kern w:val="2"/>
                <w:sz w:val="24"/>
                <w:szCs w:val="24"/>
                <w:lang w:val="en-US" w:eastAsia="zh-CN" w:bidi="ar"/>
              </w:rPr>
            </w:pPr>
          </w:p>
          <w:p>
            <w:pPr>
              <w:pStyle w:val="56"/>
              <w:bidi w:val="0"/>
              <w:rPr>
                <w:rFonts w:hint="eastAsia"/>
                <w:color w:val="auto"/>
              </w:rPr>
            </w:pPr>
            <w:r>
              <w:rPr>
                <w:color w:val="auto"/>
              </w:rPr>
              <w:t xml:space="preserve"> </w:t>
            </w:r>
            <w:r>
              <w:rPr>
                <w:rFonts w:hint="eastAsia"/>
                <w:color w:val="auto"/>
                <w:lang w:val="en-US" w:eastAsia="zh-CN"/>
              </w:rPr>
              <w:t xml:space="preserve">图5-1 </w:t>
            </w:r>
            <w:r>
              <w:rPr>
                <w:color w:val="auto"/>
              </w:rPr>
              <w:t xml:space="preserve"> </w:t>
            </w:r>
            <w:r>
              <w:rPr>
                <w:rFonts w:hint="eastAsia"/>
                <w:color w:val="auto"/>
              </w:rPr>
              <w:t>水基钻井岩屑处理工艺流程图</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480" w:lineRule="exact"/>
              <w:ind w:firstLine="480" w:firstLineChars="200"/>
              <w:jc w:val="both"/>
              <w:textAlignment w:val="auto"/>
              <w:rPr>
                <w:rFonts w:hint="default" w:ascii="Times New Roman" w:hAnsi="Times New Roman" w:eastAsia="宋体" w:cs="Times New Roman"/>
                <w:bCs/>
                <w:color w:val="auto"/>
                <w:kern w:val="0"/>
                <w:sz w:val="24"/>
                <w:szCs w:val="24"/>
                <w:lang w:val="en-US" w:eastAsia="zh-CN" w:bidi="ar-SA"/>
              </w:rPr>
            </w:pPr>
            <w:r>
              <w:rPr>
                <w:rFonts w:hint="default" w:ascii="Times New Roman" w:hAnsi="Times New Roman" w:eastAsia="宋体" w:cs="Times New Roman"/>
                <w:color w:val="auto"/>
                <w:kern w:val="2"/>
                <w:sz w:val="24"/>
                <w:szCs w:val="24"/>
                <w:lang w:val="en-US" w:eastAsia="zh-CN" w:bidi="ar"/>
              </w:rPr>
              <w:t>水基钻井岩屑处置单位为</w:t>
            </w:r>
            <w:r>
              <w:rPr>
                <w:rFonts w:hint="default" w:ascii="Times New Roman" w:hAnsi="Times New Roman" w:eastAsia="宋体" w:cs="Times New Roman"/>
                <w:bCs/>
                <w:color w:val="auto"/>
                <w:kern w:val="0"/>
                <w:sz w:val="24"/>
                <w:szCs w:val="24"/>
                <w:lang w:val="en-US" w:eastAsia="zh-CN" w:bidi="ar-SA"/>
              </w:rPr>
              <w:t>克拉玛依宇洲环保工程有限责任公司，成立于2017年2月20日，主要经营范围：环保工程；技术推广服务；污水处理及其再生利用；废弃资源综合利用；道路普通货物运输；环境治理业；石油和天然气开采专业及辅助性活动。2017年10月30日通过新疆生产建设兵团第七师环保局“关于克拉玛依宇洲环保工程有限责任公司钻井泥浆、岩屑处置及综合利用项目环境影响报告书”的批复，文件号：师环审〔2017〕64号。废钻井泥浆、岩屑处理工艺：采用“化学脱稳+压滤离心+混凝沉降+精细过滤”工艺实现废钻井泥浆、岩屑的无害化处置和综合利用。处理规模为10万m</w:t>
            </w:r>
            <w:r>
              <w:rPr>
                <w:rFonts w:hint="default" w:ascii="Times New Roman" w:hAnsi="Times New Roman" w:eastAsia="宋体" w:cs="Times New Roman"/>
                <w:bCs/>
                <w:color w:val="auto"/>
                <w:kern w:val="0"/>
                <w:sz w:val="24"/>
                <w:szCs w:val="24"/>
                <w:vertAlign w:val="superscript"/>
                <w:lang w:val="en-US" w:eastAsia="zh-CN" w:bidi="ar-SA"/>
              </w:rPr>
              <w:t>3</w:t>
            </w:r>
            <w:r>
              <w:rPr>
                <w:rFonts w:hint="default" w:ascii="Times New Roman" w:hAnsi="Times New Roman" w:eastAsia="宋体" w:cs="Times New Roman"/>
                <w:bCs/>
                <w:color w:val="auto"/>
                <w:kern w:val="0"/>
                <w:sz w:val="24"/>
                <w:szCs w:val="24"/>
                <w:vertAlign w:val="baseline"/>
                <w:lang w:val="en-US" w:eastAsia="zh-CN" w:bidi="ar-SA"/>
              </w:rPr>
              <w:t>，</w:t>
            </w:r>
            <w:r>
              <w:rPr>
                <w:rFonts w:hint="default" w:ascii="Times New Roman" w:hAnsi="Times New Roman" w:eastAsia="宋体" w:cs="Times New Roman"/>
                <w:bCs/>
                <w:color w:val="auto"/>
                <w:kern w:val="0"/>
                <w:sz w:val="24"/>
                <w:szCs w:val="24"/>
                <w:lang w:val="en-US" w:eastAsia="zh-CN" w:bidi="ar-SA"/>
              </w:rPr>
              <w:t>本项目水基钻井岩屑产</w:t>
            </w:r>
            <w:r>
              <w:rPr>
                <w:rStyle w:val="42"/>
                <w:rFonts w:hint="default" w:ascii="Times New Roman" w:hAnsi="Times New Roman" w:cs="Times New Roman"/>
                <w:color w:val="auto"/>
                <w:lang w:val="en-US" w:eastAsia="zh-CN"/>
              </w:rPr>
              <w:t>生量为324.16</w:t>
            </w:r>
            <w:r>
              <w:rPr>
                <w:rStyle w:val="42"/>
                <w:rFonts w:hint="default" w:ascii="Times New Roman" w:hAnsi="Times New Roman" w:cs="Times New Roman"/>
                <w:color w:val="auto"/>
              </w:rPr>
              <w:t>m</w:t>
            </w:r>
            <w:r>
              <w:rPr>
                <w:rStyle w:val="42"/>
                <w:rFonts w:hint="default" w:ascii="Times New Roman" w:hAnsi="Times New Roman" w:cs="Times New Roman"/>
                <w:color w:val="auto"/>
                <w:vertAlign w:val="superscript"/>
              </w:rPr>
              <w:t>3</w:t>
            </w:r>
            <w:r>
              <w:rPr>
                <w:rStyle w:val="42"/>
                <w:rFonts w:hint="default" w:ascii="Times New Roman" w:hAnsi="Times New Roman" w:cs="Times New Roman"/>
                <w:color w:val="auto"/>
                <w:lang w:val="en-US" w:eastAsia="zh-CN"/>
              </w:rPr>
              <w:t>，该</w:t>
            </w:r>
            <w:r>
              <w:rPr>
                <w:rFonts w:hint="default" w:ascii="Times New Roman" w:hAnsi="Times New Roman" w:eastAsia="宋体" w:cs="Times New Roman"/>
                <w:bCs/>
                <w:color w:val="auto"/>
                <w:kern w:val="0"/>
                <w:sz w:val="24"/>
                <w:szCs w:val="24"/>
                <w:lang w:val="en-US" w:eastAsia="zh-CN" w:bidi="ar-SA"/>
              </w:rPr>
              <w:t>公司处理能力能满足项目需求。</w:t>
            </w:r>
          </w:p>
          <w:p>
            <w:pPr>
              <w:pStyle w:val="10"/>
              <w:bidi w:val="0"/>
              <w:rPr>
                <w:rFonts w:hint="eastAsia" w:ascii="Times New Roman" w:hAnsi="Times New Roman" w:eastAsia="宋体" w:cs="Times New Roman"/>
                <w:color w:val="auto"/>
                <w:kern w:val="2"/>
                <w:sz w:val="24"/>
                <w:szCs w:val="24"/>
                <w:lang w:val="en-US" w:eastAsia="zh-CN" w:bidi="ar"/>
              </w:rPr>
            </w:pPr>
            <w:r>
              <w:rPr>
                <w:rFonts w:hint="eastAsia" w:cs="Times New Roman"/>
                <w:color w:val="auto"/>
                <w:kern w:val="2"/>
                <w:sz w:val="24"/>
                <w:szCs w:val="24"/>
                <w:lang w:val="en-US" w:eastAsia="zh-CN" w:bidi="ar"/>
              </w:rPr>
              <w:t>（2）</w:t>
            </w:r>
            <w:r>
              <w:rPr>
                <w:rFonts w:hint="eastAsia" w:ascii="Times New Roman" w:hAnsi="Times New Roman" w:eastAsia="宋体" w:cs="Times New Roman"/>
                <w:color w:val="auto"/>
                <w:kern w:val="2"/>
                <w:sz w:val="24"/>
                <w:szCs w:val="24"/>
                <w:lang w:val="en-US" w:eastAsia="zh-CN" w:bidi="ar"/>
              </w:rPr>
              <w:t>危险废物</w:t>
            </w:r>
          </w:p>
          <w:p>
            <w:pPr>
              <w:pStyle w:val="10"/>
              <w:bidi w:val="0"/>
              <w:rPr>
                <w:rFonts w:hint="default"/>
                <w:color w:val="auto"/>
                <w:lang w:val="en-US" w:eastAsia="zh-CN"/>
              </w:rPr>
            </w:pPr>
            <w:bookmarkStart w:id="127" w:name="OLE_LINK48"/>
            <w:r>
              <w:rPr>
                <w:rFonts w:hint="default"/>
                <w:color w:val="auto"/>
                <w:lang w:val="en-US" w:eastAsia="zh-CN"/>
              </w:rPr>
              <w:t>①油基岩屑</w:t>
            </w:r>
          </w:p>
          <w:bookmarkEnd w:id="127"/>
          <w:p>
            <w:pPr>
              <w:pStyle w:val="10"/>
              <w:bidi w:val="0"/>
              <w:rPr>
                <w:rFonts w:hint="default" w:ascii="Times New Roman" w:hAnsi="Times New Roman" w:eastAsia="宋体" w:cs="Times New Roman"/>
                <w:color w:val="auto"/>
                <w:lang w:val="en-US" w:eastAsia="zh-CN"/>
              </w:rPr>
            </w:pPr>
            <w:r>
              <w:rPr>
                <w:rFonts w:hint="default"/>
                <w:color w:val="auto"/>
                <w:lang w:val="en-US" w:eastAsia="zh-CN"/>
              </w:rPr>
              <w:t>项目</w:t>
            </w:r>
            <w:r>
              <w:rPr>
                <w:rFonts w:hint="eastAsia" w:ascii="Times New Roman" w:eastAsia="宋体"/>
                <w:color w:val="auto"/>
                <w:lang w:val="en-US" w:eastAsia="zh-CN"/>
              </w:rPr>
              <w:t>钻井期</w:t>
            </w:r>
            <w:r>
              <w:rPr>
                <w:rFonts w:hint="default"/>
                <w:color w:val="auto"/>
              </w:rPr>
              <w:t>二开</w:t>
            </w:r>
            <w:r>
              <w:rPr>
                <w:rFonts w:hint="eastAsia"/>
                <w:color w:val="auto"/>
                <w:lang w:eastAsia="zh-CN"/>
              </w:rPr>
              <w:t>、</w:t>
            </w:r>
            <w:r>
              <w:rPr>
                <w:rFonts w:hint="eastAsia"/>
                <w:color w:val="auto"/>
                <w:lang w:val="en-US" w:eastAsia="zh-CN"/>
              </w:rPr>
              <w:t>三开</w:t>
            </w:r>
            <w:r>
              <w:rPr>
                <w:rFonts w:hint="default"/>
                <w:color w:val="auto"/>
              </w:rPr>
              <w:t>采用油基钻井液，钻井时井筒返排的钻井液及岩屑经不落地设备进行初步分离，液相回用于钻井液配置；固相再由甩干机进行第一次固液分离，然后由离心机对甩干机排出的液体进行第二次固液分离，从而实现深度分离，分离出的液相回用于钻井液配置，分离出的固相（即油基钻井岩屑）采用专用储罐进行收集，待储罐盛满后交由</w:t>
            </w:r>
            <w:bookmarkStart w:id="128" w:name="_Hlk69139460"/>
            <w:r>
              <w:rPr>
                <w:rFonts w:hint="default"/>
                <w:color w:val="auto"/>
                <w:lang w:val="en-US" w:eastAsia="zh-CN"/>
              </w:rPr>
              <w:t>危废处置资质单位</w:t>
            </w:r>
            <w:r>
              <w:rPr>
                <w:rFonts w:hint="default" w:ascii="Times New Roman" w:hAnsi="Times New Roman" w:eastAsia="宋体" w:cs="Times New Roman"/>
                <w:color w:val="auto"/>
                <w:kern w:val="0"/>
                <w:sz w:val="24"/>
                <w:szCs w:val="24"/>
                <w:lang w:val="en-US" w:eastAsia="zh-CN" w:bidi="ar-SA"/>
              </w:rPr>
              <w:t>新疆中建环能北庭环保科技有限公司</w:t>
            </w:r>
            <w:r>
              <w:rPr>
                <w:rFonts w:hint="eastAsia" w:ascii="Times New Roman" w:hAnsi="Times New Roman" w:eastAsia="宋体" w:cs="Times New Roman"/>
                <w:color w:val="auto"/>
                <w:kern w:val="0"/>
                <w:sz w:val="24"/>
                <w:szCs w:val="24"/>
                <w:lang w:val="en-US" w:eastAsia="zh-CN" w:bidi="ar-SA"/>
              </w:rPr>
              <w:t>－</w:t>
            </w:r>
            <w:r>
              <w:rPr>
                <w:rFonts w:ascii="宋体" w:hAnsi="宋体" w:eastAsia="宋体" w:cs="宋体"/>
                <w:color w:val="auto"/>
                <w:sz w:val="24"/>
                <w:szCs w:val="24"/>
              </w:rPr>
              <w:t>新疆中建西部建设水泥制造有限公司</w:t>
            </w:r>
            <w:r>
              <w:rPr>
                <w:rFonts w:hint="default"/>
                <w:color w:val="auto"/>
              </w:rPr>
              <w:t>进行转运、接收、处置</w:t>
            </w:r>
            <w:bookmarkEnd w:id="128"/>
            <w:r>
              <w:rPr>
                <w:rFonts w:hint="default"/>
                <w:color w:val="auto"/>
              </w:rPr>
              <w:t>。</w:t>
            </w:r>
            <w:r>
              <w:rPr>
                <w:rFonts w:hint="default" w:ascii="Times New Roman" w:hAnsi="Times New Roman" w:eastAsia="宋体" w:cs="Times New Roman"/>
                <w:color w:val="auto"/>
              </w:rPr>
              <w:t>油基钻井岩屑临时贮存在岩屑专用储罐内，储罐底部铺设防渗膜，油基钻井岩屑在井场临时贮存应满足《危险废物贮存污染控制标准》（GB18597-2023）相关要求。</w:t>
            </w:r>
            <w:r>
              <w:rPr>
                <w:rFonts w:hint="eastAsia" w:ascii="Times New Roman" w:hAnsi="Times New Roman" w:eastAsia="宋体" w:cs="Times New Roman"/>
                <w:color w:val="auto"/>
                <w:lang w:val="en-US" w:eastAsia="zh-CN"/>
              </w:rPr>
              <w:t>油基岩屑处理工艺流程见下图。</w:t>
            </w:r>
          </w:p>
          <w:p>
            <w:pPr>
              <w:pStyle w:val="10"/>
              <w:bidi w:val="0"/>
              <w:rPr>
                <w:rFonts w:hint="default"/>
                <w:color w:val="auto"/>
              </w:rPr>
            </w:pPr>
            <w:r>
              <w:rPr>
                <w:color w:val="auto"/>
              </w:rPr>
              <w:drawing>
                <wp:anchor distT="0" distB="0" distL="114300" distR="114300" simplePos="0" relativeHeight="251662336" behindDoc="0" locked="0" layoutInCell="1" allowOverlap="1">
                  <wp:simplePos x="0" y="0"/>
                  <wp:positionH relativeFrom="column">
                    <wp:posOffset>237490</wp:posOffset>
                  </wp:positionH>
                  <wp:positionV relativeFrom="paragraph">
                    <wp:posOffset>100330</wp:posOffset>
                  </wp:positionV>
                  <wp:extent cx="4375150" cy="2336800"/>
                  <wp:effectExtent l="0" t="0" r="6350" b="6350"/>
                  <wp:wrapNone/>
                  <wp:docPr id="183" name="图片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18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1864360" y="6261735"/>
                            <a:ext cx="4375150" cy="2336800"/>
                          </a:xfrm>
                          <a:prstGeom prst="rect">
                            <a:avLst/>
                          </a:prstGeom>
                          <a:noFill/>
                          <a:ln>
                            <a:noFill/>
                          </a:ln>
                          <a:effectLst/>
                        </pic:spPr>
                      </pic:pic>
                    </a:graphicData>
                  </a:graphic>
                </wp:anchor>
              </w:drawing>
            </w:r>
          </w:p>
          <w:p>
            <w:pPr>
              <w:pStyle w:val="10"/>
              <w:bidi w:val="0"/>
              <w:rPr>
                <w:rFonts w:hint="default"/>
                <w:color w:val="auto"/>
              </w:rPr>
            </w:pPr>
          </w:p>
          <w:p>
            <w:pPr>
              <w:pStyle w:val="10"/>
              <w:bidi w:val="0"/>
              <w:rPr>
                <w:rFonts w:hint="default"/>
                <w:color w:val="auto"/>
              </w:rPr>
            </w:pPr>
          </w:p>
          <w:p>
            <w:pPr>
              <w:pStyle w:val="10"/>
              <w:bidi w:val="0"/>
              <w:rPr>
                <w:rFonts w:hint="default"/>
                <w:color w:val="auto"/>
              </w:rPr>
            </w:pPr>
          </w:p>
          <w:p>
            <w:pPr>
              <w:pStyle w:val="10"/>
              <w:bidi w:val="0"/>
              <w:rPr>
                <w:rFonts w:hint="default"/>
                <w:color w:val="auto"/>
              </w:rPr>
            </w:pPr>
          </w:p>
          <w:p>
            <w:pPr>
              <w:pStyle w:val="10"/>
              <w:bidi w:val="0"/>
              <w:rPr>
                <w:rFonts w:hint="default"/>
                <w:color w:val="auto"/>
              </w:rPr>
            </w:pPr>
          </w:p>
          <w:p>
            <w:pPr>
              <w:pStyle w:val="10"/>
              <w:bidi w:val="0"/>
              <w:rPr>
                <w:rFonts w:hint="default"/>
                <w:color w:val="auto"/>
              </w:rPr>
            </w:pPr>
          </w:p>
          <w:p>
            <w:pPr>
              <w:pStyle w:val="56"/>
              <w:bidi w:val="0"/>
              <w:rPr>
                <w:rFonts w:hint="eastAsia"/>
                <w:color w:val="auto"/>
                <w:lang w:val="en-US" w:eastAsia="zh-CN"/>
              </w:rPr>
            </w:pPr>
          </w:p>
          <w:p>
            <w:pPr>
              <w:pStyle w:val="56"/>
              <w:bidi w:val="0"/>
              <w:rPr>
                <w:rFonts w:hint="eastAsia"/>
                <w:color w:val="auto"/>
                <w:lang w:val="en-US" w:eastAsia="zh-CN"/>
              </w:rPr>
            </w:pPr>
            <w:r>
              <w:rPr>
                <w:rFonts w:hint="eastAsia"/>
                <w:color w:val="auto"/>
                <w:lang w:val="en-US" w:eastAsia="zh-CN"/>
              </w:rPr>
              <w:t>图5-</w:t>
            </w:r>
            <w:r>
              <w:rPr>
                <w:color w:val="auto"/>
                <w:lang w:val="en-US" w:eastAsia="zh-CN"/>
              </w:rPr>
              <w:t xml:space="preserve">2 </w:t>
            </w:r>
            <w:r>
              <w:rPr>
                <w:rFonts w:hint="eastAsia"/>
                <w:color w:val="auto"/>
                <w:lang w:val="en-US" w:eastAsia="zh-CN"/>
              </w:rPr>
              <w:t xml:space="preserve"> 油基钻井岩屑不落地系统工艺流程示意图</w:t>
            </w:r>
          </w:p>
          <w:bookmarkEnd w:id="124"/>
          <w:bookmarkEnd w:id="125"/>
          <w:bookmarkEnd w:id="126"/>
          <w:p>
            <w:pPr>
              <w:pStyle w:val="25"/>
              <w:keepNext w:val="0"/>
              <w:keepLines w:val="0"/>
              <w:pageBreakBefore w:val="0"/>
              <w:widowControl w:val="0"/>
              <w:kinsoku/>
              <w:wordWrap/>
              <w:overflowPunct/>
              <w:topLinePunct w:val="0"/>
              <w:bidi w:val="0"/>
              <w:snapToGrid w:val="0"/>
              <w:spacing w:before="0" w:beforeAutospacing="0" w:after="0" w:afterAutospacing="0" w:line="480" w:lineRule="exact"/>
              <w:ind w:firstLine="48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kern w:val="2"/>
                <w:lang w:bidi="ar"/>
              </w:rPr>
              <w:t>②沾油废防渗材料</w:t>
            </w:r>
          </w:p>
          <w:p>
            <w:pPr>
              <w:keepNext w:val="0"/>
              <w:keepLines w:val="0"/>
              <w:pageBreakBefore w:val="0"/>
              <w:widowControl w:val="0"/>
              <w:kinsoku/>
              <w:wordWrap/>
              <w:overflowPunct/>
              <w:topLinePunct w:val="0"/>
              <w:bidi w:val="0"/>
              <w:snapToGrid w:val="0"/>
              <w:spacing w:line="480" w:lineRule="exact"/>
              <w:ind w:firstLine="480" w:firstLineChars="200"/>
              <w:textAlignment w:val="auto"/>
              <w:rPr>
                <w:rFonts w:hint="default" w:ascii="Times New Roman" w:hAnsi="Times New Roman" w:cs="Times New Roman"/>
                <w:color w:val="auto"/>
              </w:rPr>
            </w:pPr>
            <w:r>
              <w:rPr>
                <w:rFonts w:hint="default" w:ascii="Times New Roman" w:hAnsi="Times New Roman" w:cs="Times New Roman"/>
                <w:color w:val="auto"/>
                <w:lang w:val="en-US" w:eastAsia="zh-CN" w:bidi="ar"/>
              </w:rPr>
              <w:t>本项目</w:t>
            </w:r>
            <w:r>
              <w:rPr>
                <w:rFonts w:hint="default" w:ascii="Times New Roman" w:hAnsi="Times New Roman" w:cs="Times New Roman"/>
                <w:color w:val="auto"/>
                <w:lang w:bidi="ar"/>
              </w:rPr>
              <w:t>施工结束后清理场地时产生的未沾油防渗材料由施工单位集中回收利用，沾油废防渗材料分区暂存在井场设置的危险废物贮存点，定期由具有相应危险废物处置资质的单位进行接收、转运和处置。</w:t>
            </w:r>
          </w:p>
          <w:p>
            <w:pPr>
              <w:keepNext w:val="0"/>
              <w:keepLines w:val="0"/>
              <w:pageBreakBefore w:val="0"/>
              <w:widowControl w:val="0"/>
              <w:kinsoku/>
              <w:wordWrap/>
              <w:overflowPunct/>
              <w:topLinePunct w:val="0"/>
              <w:bidi w:val="0"/>
              <w:snapToGrid w:val="0"/>
              <w:spacing w:line="480" w:lineRule="exact"/>
              <w:ind w:firstLine="480" w:firstLineChars="200"/>
              <w:textAlignment w:val="auto"/>
              <w:rPr>
                <w:rFonts w:hint="default" w:ascii="Times New Roman" w:hAnsi="Times New Roman" w:cs="Times New Roman"/>
                <w:color w:val="auto"/>
              </w:rPr>
            </w:pPr>
            <w:r>
              <w:rPr>
                <w:rFonts w:hint="default" w:ascii="Times New Roman" w:hAnsi="Times New Roman" w:cs="Times New Roman"/>
                <w:color w:val="auto"/>
              </w:rPr>
              <w:t>③废润滑油、废润滑油桶</w:t>
            </w:r>
          </w:p>
          <w:p>
            <w:pPr>
              <w:keepNext w:val="0"/>
              <w:keepLines w:val="0"/>
              <w:pageBreakBefore w:val="0"/>
              <w:widowControl w:val="0"/>
              <w:kinsoku/>
              <w:wordWrap/>
              <w:overflowPunct/>
              <w:topLinePunct w:val="0"/>
              <w:bidi w:val="0"/>
              <w:snapToGrid w:val="0"/>
              <w:spacing w:line="480" w:lineRule="exact"/>
              <w:ind w:firstLine="480" w:firstLineChars="200"/>
              <w:textAlignment w:val="auto"/>
              <w:rPr>
                <w:rFonts w:hint="default" w:ascii="Times New Roman" w:hAnsi="Times New Roman" w:cs="Times New Roman"/>
                <w:color w:val="auto"/>
              </w:rPr>
            </w:pPr>
            <w:r>
              <w:rPr>
                <w:rFonts w:hint="default" w:ascii="Times New Roman" w:hAnsi="Times New Roman" w:cs="Times New Roman"/>
                <w:color w:val="auto"/>
                <w:lang w:val="en-US" w:eastAsia="zh-CN"/>
              </w:rPr>
              <w:t>本项目</w:t>
            </w:r>
            <w:r>
              <w:rPr>
                <w:rFonts w:hint="default" w:ascii="Times New Roman" w:hAnsi="Times New Roman" w:cs="Times New Roman"/>
                <w:color w:val="auto"/>
              </w:rPr>
              <w:t>施工过程中机械、设备检修和维护过程中产生的废润滑油、废润滑油桶分区暂存在井场设置的危险废物贮存点，定期由具有相应危险废物处置资质的单位进行接收、转运和处置。</w:t>
            </w:r>
            <w:bookmarkEnd w:id="122"/>
          </w:p>
          <w:p>
            <w:pPr>
              <w:pStyle w:val="10"/>
              <w:bidi w:val="0"/>
              <w:rPr>
                <w:rFonts w:hint="eastAsia" w:eastAsia="宋体"/>
                <w:color w:val="auto"/>
                <w:lang w:val="en-US" w:eastAsia="zh-CN"/>
              </w:rPr>
            </w:pPr>
            <w:r>
              <w:rPr>
                <w:rFonts w:hint="default"/>
                <w:color w:val="auto"/>
              </w:rPr>
              <w:t>④危险废物贮存</w:t>
            </w:r>
            <w:r>
              <w:rPr>
                <w:rFonts w:hint="eastAsia"/>
                <w:color w:val="auto"/>
                <w:lang w:val="en-US" w:eastAsia="zh-CN"/>
              </w:rPr>
              <w:t>措施</w:t>
            </w:r>
          </w:p>
          <w:p>
            <w:pPr>
              <w:pStyle w:val="10"/>
              <w:bidi w:val="0"/>
              <w:rPr>
                <w:rFonts w:hint="default"/>
                <w:color w:val="auto"/>
              </w:rPr>
            </w:pPr>
            <w:r>
              <w:rPr>
                <w:rFonts w:hint="default"/>
                <w:color w:val="auto"/>
                <w:lang w:val="en-US" w:eastAsia="zh-CN"/>
              </w:rPr>
              <w:t>本项目</w:t>
            </w:r>
            <w:r>
              <w:rPr>
                <w:rFonts w:hint="default"/>
                <w:color w:val="auto"/>
              </w:rPr>
              <w:t>在井场内设置一座</w:t>
            </w:r>
            <w:r>
              <w:rPr>
                <w:rFonts w:hint="eastAsia"/>
                <w:color w:val="auto"/>
                <w:lang w:val="en-US" w:eastAsia="zh-CN"/>
              </w:rPr>
              <w:t>5m</w:t>
            </w:r>
            <w:r>
              <w:rPr>
                <w:rFonts w:hint="eastAsia"/>
                <w:color w:val="auto"/>
                <w:vertAlign w:val="superscript"/>
                <w:lang w:val="en-US" w:eastAsia="zh-CN"/>
              </w:rPr>
              <w:t>2</w:t>
            </w:r>
            <w:r>
              <w:rPr>
                <w:rFonts w:hint="eastAsia"/>
                <w:color w:val="auto"/>
                <w:vertAlign w:val="baseline"/>
                <w:lang w:val="en-US" w:eastAsia="zh-CN"/>
              </w:rPr>
              <w:t>的</w:t>
            </w:r>
            <w:r>
              <w:rPr>
                <w:rFonts w:hint="default"/>
                <w:color w:val="auto"/>
              </w:rPr>
              <w:t>临时危险废物</w:t>
            </w:r>
            <w:r>
              <w:rPr>
                <w:rFonts w:hint="eastAsia"/>
                <w:color w:val="auto"/>
                <w:lang w:val="en-US" w:eastAsia="zh-CN"/>
              </w:rPr>
              <w:t>贮存</w:t>
            </w:r>
            <w:r>
              <w:rPr>
                <w:rFonts w:hint="default"/>
                <w:color w:val="auto"/>
              </w:rPr>
              <w:t>点，</w:t>
            </w:r>
            <w:r>
              <w:rPr>
                <w:rFonts w:hint="eastAsia"/>
                <w:color w:val="auto"/>
                <w:lang w:val="en-US" w:eastAsia="zh-CN"/>
              </w:rPr>
              <w:t>位于</w:t>
            </w:r>
            <w:r>
              <w:rPr>
                <w:rFonts w:hint="eastAsia" w:ascii="Times New Roman" w:hAnsi="Times New Roman" w:eastAsia="宋体" w:cs="Times New Roman"/>
                <w:bCs/>
                <w:color w:val="auto"/>
                <w:highlight w:val="none"/>
                <w:lang w:val="en-US" w:eastAsia="zh-CN"/>
              </w:rPr>
              <w:t>材料房旁，远离柴油罐区、井口、岩屑罐区等装置位置（见附图5），占地面积约5m</w:t>
            </w:r>
            <w:r>
              <w:rPr>
                <w:rFonts w:hint="eastAsia" w:ascii="Times New Roman" w:hAnsi="Times New Roman" w:eastAsia="宋体" w:cs="Times New Roman"/>
                <w:bCs/>
                <w:color w:val="auto"/>
                <w:highlight w:val="none"/>
                <w:vertAlign w:val="superscript"/>
                <w:lang w:val="en-US" w:eastAsia="zh-CN"/>
              </w:rPr>
              <w:t>2</w:t>
            </w:r>
            <w:r>
              <w:rPr>
                <w:rFonts w:hint="eastAsia" w:ascii="Times New Roman" w:hAnsi="Times New Roman" w:eastAsia="宋体" w:cs="Times New Roman"/>
                <w:bCs/>
                <w:color w:val="auto"/>
                <w:highlight w:val="none"/>
                <w:lang w:val="en-US" w:eastAsia="zh-CN"/>
              </w:rPr>
              <w:t>，采用集装箱式房屋的形式整体拉运至井场，贮存点地面设置防渗及围堰。贮存点内部设置防渗地面和裙角，墙体和屋顶为封闭的维护结构，有墙体和屋顶。具备防风、</w:t>
            </w:r>
            <w:r>
              <w:rPr>
                <w:rFonts w:hint="eastAsia" w:ascii="Calibri" w:hAnsi="Times New Roman" w:eastAsia="宋体" w:cs="Times New Roman"/>
                <w:bCs/>
                <w:color w:val="auto"/>
                <w:highlight w:val="none"/>
                <w:lang w:val="en-US" w:eastAsia="zh-CN"/>
              </w:rPr>
              <w:t>防晒、</w:t>
            </w:r>
            <w:r>
              <w:rPr>
                <w:rFonts w:hint="eastAsia" w:ascii="Times New Roman" w:hAnsi="Times New Roman" w:eastAsia="宋体" w:cs="Times New Roman"/>
                <w:bCs/>
                <w:color w:val="auto"/>
                <w:highlight w:val="none"/>
                <w:lang w:val="en-US" w:eastAsia="zh-CN"/>
              </w:rPr>
              <w:t>防雨、防漏、防腐、防渗漏等功能。危废贮存时下部设置具有收集功能的托盘。贮存点按要求设置警示标志，张贴管理制度，由专人管理。</w:t>
            </w:r>
            <w:r>
              <w:rPr>
                <w:rFonts w:hint="default"/>
                <w:color w:val="auto"/>
              </w:rPr>
              <w:t>其选址符合《危险废物贮存污染控制标准》（GB18597-2023）的选址要求，建设过程中应严格按照《危险废物贮存污染控制标准》（GB18597-2023）中的相关要求建设，具体要求如下：</w:t>
            </w:r>
          </w:p>
          <w:p>
            <w:pPr>
              <w:pStyle w:val="10"/>
              <w:keepNext w:val="0"/>
              <w:keepLines w:val="0"/>
              <w:pageBreakBefore w:val="0"/>
              <w:widowControl/>
              <w:numPr>
                <w:ilvl w:val="0"/>
                <w:numId w:val="17"/>
              </w:numPr>
              <w:kinsoku/>
              <w:wordWrap/>
              <w:overflowPunct/>
              <w:topLinePunct w:val="0"/>
              <w:autoSpaceDE/>
              <w:autoSpaceDN/>
              <w:bidi w:val="0"/>
              <w:adjustRightInd/>
              <w:snapToGrid w:val="0"/>
              <w:ind w:left="0" w:leftChars="0" w:firstLine="480" w:firstLineChars="200"/>
              <w:textAlignment w:val="auto"/>
              <w:rPr>
                <w:rFonts w:hint="default"/>
                <w:color w:val="auto"/>
              </w:rPr>
            </w:pPr>
            <w:r>
              <w:rPr>
                <w:rFonts w:hint="default"/>
                <w:color w:val="auto"/>
              </w:rPr>
              <w:t>贮存设施应根据危险废物的形态、物理化学性质、包装形式和污染物迁移途径，采取必要的防风、防晒、防雨、防漏、防渗、防腐以及其他环境污染防治措施，不应露天堆放危险废物。</w:t>
            </w:r>
          </w:p>
          <w:p>
            <w:pPr>
              <w:pStyle w:val="10"/>
              <w:numPr>
                <w:ilvl w:val="0"/>
                <w:numId w:val="17"/>
              </w:numPr>
              <w:bidi w:val="0"/>
              <w:ind w:left="0" w:leftChars="0" w:firstLine="480" w:firstLineChars="200"/>
              <w:rPr>
                <w:rFonts w:hint="default"/>
                <w:color w:val="auto"/>
              </w:rPr>
            </w:pPr>
            <w:r>
              <w:rPr>
                <w:rFonts w:hint="default"/>
                <w:color w:val="auto"/>
              </w:rPr>
              <w:t>贮存设施应根据危险废物的类别、数量、形态、物理化学性质和污染防治等要求设置必要的贮存分区，避免不相容的危险废物接触、混合。</w:t>
            </w:r>
          </w:p>
          <w:p>
            <w:pPr>
              <w:pStyle w:val="10"/>
              <w:numPr>
                <w:ilvl w:val="0"/>
                <w:numId w:val="17"/>
              </w:numPr>
              <w:bidi w:val="0"/>
              <w:ind w:left="0" w:leftChars="0" w:firstLine="480" w:firstLineChars="200"/>
              <w:rPr>
                <w:rFonts w:hint="default"/>
                <w:color w:val="auto"/>
              </w:rPr>
            </w:pPr>
            <w:r>
              <w:rPr>
                <w:rFonts w:hint="default"/>
                <w:color w:val="auto"/>
              </w:rPr>
              <w:t>贮存设施地面与裙脚应采取表面防渗措施；表面防渗材料应与所接触的物料或污染物相容，可采用抗渗混凝土、高密度聚乙烯膜、钠基膨润土防水毯或其他防渗性能等效的材料。</w:t>
            </w:r>
          </w:p>
          <w:p>
            <w:pPr>
              <w:pStyle w:val="10"/>
              <w:numPr>
                <w:ilvl w:val="0"/>
                <w:numId w:val="17"/>
              </w:numPr>
              <w:bidi w:val="0"/>
              <w:ind w:left="0" w:leftChars="0" w:firstLine="480" w:firstLineChars="200"/>
              <w:rPr>
                <w:rFonts w:hint="default"/>
                <w:color w:val="auto"/>
              </w:rPr>
            </w:pPr>
            <w:r>
              <w:rPr>
                <w:rFonts w:hint="default"/>
                <w:color w:val="auto"/>
              </w:rPr>
              <w:t>同一贮存设施采用相同的防渗、防腐工艺（包括防渗、防腐结构或材料），防渗、防腐材料应覆盖所有可能与废物及其渗滤液、渗漏液等接触的构筑物表面；贮存设施应采取技术和管理措施防止无关人员进入。</w:t>
            </w:r>
          </w:p>
          <w:p>
            <w:pPr>
              <w:pStyle w:val="10"/>
              <w:numPr>
                <w:ilvl w:val="0"/>
                <w:numId w:val="17"/>
              </w:numPr>
              <w:bidi w:val="0"/>
              <w:ind w:left="0" w:leftChars="0" w:firstLine="480" w:firstLineChars="200"/>
              <w:rPr>
                <w:rFonts w:hint="default"/>
                <w:color w:val="auto"/>
              </w:rPr>
            </w:pPr>
            <w:r>
              <w:rPr>
                <w:rFonts w:hint="default"/>
                <w:color w:val="auto"/>
              </w:rPr>
              <w:t>容器和包装物污染控制要求</w:t>
            </w:r>
          </w:p>
          <w:p>
            <w:pPr>
              <w:pStyle w:val="10"/>
              <w:bidi w:val="0"/>
              <w:rPr>
                <w:rFonts w:hint="default"/>
                <w:color w:val="auto"/>
              </w:rPr>
            </w:pPr>
            <w:r>
              <w:rPr>
                <w:rFonts w:hint="default"/>
                <w:color w:val="auto"/>
              </w:rPr>
              <w:t>废润滑油采用桶装，容器材质、内衬应与盛装的危险废物相容；容器满足相应的防渗、防漏、防腐和强度等要求；容器内部应留有适当的空间，以适应因温度变化等可能引发的收缩和膨胀，防止其导致容器渗漏或永久变形；容器外表面应保持清洁。</w:t>
            </w:r>
          </w:p>
          <w:p>
            <w:pPr>
              <w:pStyle w:val="10"/>
              <w:keepNext w:val="0"/>
              <w:keepLines w:val="0"/>
              <w:pageBreakBefore w:val="0"/>
              <w:widowControl/>
              <w:numPr>
                <w:ilvl w:val="0"/>
                <w:numId w:val="17"/>
              </w:numPr>
              <w:kinsoku/>
              <w:wordWrap/>
              <w:overflowPunct/>
              <w:topLinePunct w:val="0"/>
              <w:autoSpaceDE/>
              <w:autoSpaceDN/>
              <w:bidi w:val="0"/>
              <w:adjustRightInd/>
              <w:snapToGrid w:val="0"/>
              <w:ind w:left="0" w:leftChars="0" w:firstLine="480" w:firstLineChars="200"/>
              <w:textAlignment w:val="auto"/>
              <w:rPr>
                <w:rFonts w:hint="default"/>
                <w:color w:val="auto"/>
              </w:rPr>
            </w:pPr>
            <w:r>
              <w:rPr>
                <w:rFonts w:hint="default"/>
                <w:color w:val="auto"/>
              </w:rPr>
              <w:t>贮存过程污染控制要求</w:t>
            </w:r>
          </w:p>
          <w:p>
            <w:pPr>
              <w:pStyle w:val="10"/>
              <w:bidi w:val="0"/>
              <w:rPr>
                <w:rFonts w:hint="default"/>
                <w:color w:val="auto"/>
              </w:rPr>
            </w:pPr>
            <w:r>
              <w:rPr>
                <w:rFonts w:hint="default"/>
                <w:color w:val="auto"/>
              </w:rPr>
              <w:t>废润滑油、废润滑油桶和沾油废防渗材料分类堆放贮存，废润滑油装入桶内贮存，桶顶部带盖。</w:t>
            </w:r>
          </w:p>
          <w:p>
            <w:pPr>
              <w:widowControl/>
              <w:bidi w:val="0"/>
              <w:snapToGrid w:val="0"/>
              <w:spacing w:line="500" w:lineRule="exact"/>
              <w:ind w:firstLine="480" w:firstLineChars="200"/>
              <w:jc w:val="both"/>
              <w:rPr>
                <w:rFonts w:hint="default"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t>⑤危险废物处置依托可行性</w:t>
            </w:r>
          </w:p>
          <w:p>
            <w:pPr>
              <w:widowControl/>
              <w:bidi w:val="0"/>
              <w:snapToGrid w:val="0"/>
              <w:spacing w:line="500" w:lineRule="exact"/>
              <w:ind w:firstLine="480" w:firstLineChars="200"/>
              <w:jc w:val="both"/>
              <w:rPr>
                <w:rFonts w:hint="default" w:ascii="Times New Roman" w:hAnsi="Times New Roman" w:eastAsia="宋体" w:cs="Times New Roman"/>
                <w:color w:val="auto"/>
                <w:kern w:val="0"/>
                <w:sz w:val="24"/>
                <w:szCs w:val="24"/>
                <w:lang w:val="en-US" w:eastAsia="zh-CN" w:bidi="ar-SA"/>
              </w:rPr>
            </w:pPr>
            <w:bookmarkStart w:id="129" w:name="OLE_LINK55"/>
            <w:r>
              <w:rPr>
                <w:rFonts w:hint="default" w:ascii="Times New Roman" w:hAnsi="Times New Roman" w:eastAsia="宋体" w:cs="Times New Roman"/>
                <w:color w:val="auto"/>
                <w:kern w:val="0"/>
                <w:sz w:val="24"/>
                <w:szCs w:val="24"/>
                <w:lang w:val="en-US" w:eastAsia="zh-CN" w:bidi="ar-SA"/>
              </w:rPr>
              <w:t>新疆中建环能北庭环保科技有限公司</w:t>
            </w:r>
            <w:r>
              <w:rPr>
                <w:rFonts w:hint="eastAsia" w:cs="Times New Roman"/>
                <w:color w:val="auto"/>
                <w:kern w:val="0"/>
                <w:sz w:val="24"/>
                <w:szCs w:val="24"/>
                <w:lang w:val="en-US" w:eastAsia="zh-CN" w:bidi="ar-SA"/>
              </w:rPr>
              <w:t>－</w:t>
            </w:r>
            <w:r>
              <w:rPr>
                <w:rFonts w:ascii="宋体" w:hAnsi="宋体" w:eastAsia="宋体" w:cs="宋体"/>
                <w:color w:val="auto"/>
                <w:sz w:val="24"/>
                <w:szCs w:val="24"/>
              </w:rPr>
              <w:t>新疆中建西部建设水泥制造有限公司</w:t>
            </w:r>
            <w:r>
              <w:rPr>
                <w:rFonts w:hint="eastAsia" w:ascii="Times New Roman" w:hAnsi="Times New Roman" w:eastAsia="宋体" w:cs="Times New Roman"/>
                <w:color w:val="auto"/>
                <w:kern w:val="0"/>
                <w:sz w:val="24"/>
                <w:szCs w:val="24"/>
                <w:lang w:val="en-US" w:eastAsia="zh-CN" w:bidi="ar-SA"/>
              </w:rPr>
              <w:t>位于昌吉回族自治州吉木萨尔县，危废经营许可证号6523270119，许可证有效期至2027年3月18日；危废经营方式包括收集、贮存、利用、处置。经营类别包括本项目涉及的</w:t>
            </w:r>
            <w:bookmarkStart w:id="130" w:name="OLE_LINK49"/>
            <w:r>
              <w:rPr>
                <w:rFonts w:hint="eastAsia" w:ascii="Times New Roman" w:hAnsi="Times New Roman" w:eastAsia="宋体" w:cs="宋体"/>
                <w:color w:val="auto"/>
                <w:kern w:val="0"/>
                <w:sz w:val="24"/>
                <w:szCs w:val="24"/>
                <w:lang w:val="en-US" w:eastAsia="zh-CN" w:bidi="ar-SA"/>
              </w:rPr>
              <w:t>071-002-08,</w:t>
            </w:r>
            <w:r>
              <w:rPr>
                <w:rFonts w:hint="default" w:ascii="Times New Roman" w:hAnsi="Times New Roman" w:eastAsia="宋体" w:cs="Times New Roman"/>
                <w:color w:val="auto"/>
                <w:kern w:val="0"/>
                <w:sz w:val="24"/>
                <w:szCs w:val="24"/>
                <w:lang w:val="en-US" w:eastAsia="zh-CN" w:bidi="ar-SA"/>
              </w:rPr>
              <w:t>900-249-08</w:t>
            </w:r>
            <w:r>
              <w:rPr>
                <w:rFonts w:hint="eastAsia" w:ascii="Times New Roman" w:hAnsi="Times New Roman" w:eastAsia="宋体" w:cs="Times New Roman"/>
                <w:color w:val="auto"/>
                <w:kern w:val="0"/>
                <w:sz w:val="24"/>
                <w:szCs w:val="24"/>
                <w:lang w:val="en-US" w:eastAsia="zh-CN" w:bidi="ar-SA"/>
              </w:rPr>
              <w:t>,</w:t>
            </w:r>
            <w:r>
              <w:rPr>
                <w:rFonts w:hint="default" w:ascii="Times New Roman" w:hAnsi="Times New Roman" w:eastAsia="宋体" w:cs="Times New Roman"/>
                <w:color w:val="auto"/>
                <w:kern w:val="0"/>
                <w:sz w:val="24"/>
                <w:szCs w:val="24"/>
                <w:lang w:val="en-US" w:eastAsia="zh-CN" w:bidi="ar-SA"/>
              </w:rPr>
              <w:t>900-2</w:t>
            </w:r>
            <w:r>
              <w:rPr>
                <w:rFonts w:hint="eastAsia" w:ascii="Times New Roman" w:hAnsi="Times New Roman" w:eastAsia="宋体" w:cs="Times New Roman"/>
                <w:color w:val="auto"/>
                <w:kern w:val="0"/>
                <w:sz w:val="24"/>
                <w:szCs w:val="24"/>
                <w:lang w:val="en-US" w:eastAsia="zh-CN" w:bidi="ar-SA"/>
              </w:rPr>
              <w:t>14</w:t>
            </w:r>
            <w:r>
              <w:rPr>
                <w:rFonts w:hint="default" w:ascii="Times New Roman" w:hAnsi="Times New Roman" w:eastAsia="宋体" w:cs="Times New Roman"/>
                <w:color w:val="auto"/>
                <w:kern w:val="0"/>
                <w:sz w:val="24"/>
                <w:szCs w:val="24"/>
                <w:lang w:val="en-US" w:eastAsia="zh-CN" w:bidi="ar-SA"/>
              </w:rPr>
              <w:t>-0</w:t>
            </w:r>
            <w:r>
              <w:rPr>
                <w:rFonts w:hint="eastAsia" w:ascii="Times New Roman" w:hAnsi="Times New Roman" w:eastAsia="宋体" w:cs="Times New Roman"/>
                <w:color w:val="auto"/>
                <w:kern w:val="0"/>
                <w:sz w:val="24"/>
                <w:szCs w:val="24"/>
                <w:lang w:val="en-US" w:eastAsia="zh-CN" w:bidi="ar-SA"/>
              </w:rPr>
              <w:t>8</w:t>
            </w:r>
            <w:bookmarkEnd w:id="130"/>
            <w:r>
              <w:rPr>
                <w:rFonts w:hint="eastAsia" w:ascii="Times New Roman" w:hAnsi="Times New Roman" w:eastAsia="宋体" w:cs="Times New Roman"/>
                <w:color w:val="auto"/>
                <w:kern w:val="0"/>
                <w:sz w:val="24"/>
                <w:szCs w:val="24"/>
                <w:lang w:val="en-US" w:eastAsia="zh-CN" w:bidi="ar-SA"/>
              </w:rPr>
              <w:t>危废。处置能力为100000m</w:t>
            </w:r>
            <w:r>
              <w:rPr>
                <w:rFonts w:hint="eastAsia" w:cs="Times New Roman"/>
                <w:color w:val="auto"/>
                <w:kern w:val="0"/>
                <w:sz w:val="24"/>
                <w:szCs w:val="24"/>
                <w:vertAlign w:val="superscript"/>
                <w:lang w:val="en-US" w:eastAsia="zh-CN" w:bidi="ar-SA"/>
              </w:rPr>
              <w:t>3</w:t>
            </w:r>
            <w:r>
              <w:rPr>
                <w:rFonts w:hint="eastAsia" w:ascii="Times New Roman" w:hAnsi="Times New Roman" w:eastAsia="宋体" w:cs="Times New Roman"/>
                <w:color w:val="auto"/>
                <w:kern w:val="0"/>
                <w:sz w:val="24"/>
                <w:szCs w:val="24"/>
                <w:lang w:val="en-US" w:eastAsia="zh-CN" w:bidi="ar-SA"/>
              </w:rPr>
              <w:t>/a。本项目</w:t>
            </w:r>
            <w:r>
              <w:rPr>
                <w:rFonts w:hint="eastAsia" w:cs="Times New Roman"/>
                <w:color w:val="auto"/>
                <w:kern w:val="0"/>
                <w:sz w:val="24"/>
                <w:szCs w:val="24"/>
                <w:lang w:val="en-US" w:eastAsia="zh-CN" w:bidi="ar-SA"/>
              </w:rPr>
              <w:t>油基岩屑</w:t>
            </w:r>
            <w:r>
              <w:rPr>
                <w:rFonts w:hint="eastAsia" w:ascii="Times New Roman" w:hAnsi="Times New Roman" w:eastAsia="宋体" w:cs="Times New Roman"/>
                <w:color w:val="auto"/>
                <w:kern w:val="0"/>
                <w:sz w:val="24"/>
                <w:szCs w:val="24"/>
                <w:lang w:val="en-US" w:eastAsia="zh-CN" w:bidi="ar-SA"/>
              </w:rPr>
              <w:t>产生量</w:t>
            </w:r>
            <w:r>
              <w:rPr>
                <w:rFonts w:hint="eastAsia" w:cs="Times New Roman"/>
                <w:b w:val="0"/>
                <w:bCs w:val="0"/>
                <w:color w:val="auto"/>
                <w:kern w:val="0"/>
                <w:sz w:val="24"/>
                <w:szCs w:val="24"/>
                <w:lang w:val="en-US" w:eastAsia="zh-CN" w:bidi="ar-SA"/>
              </w:rPr>
              <w:t>3616.38</w:t>
            </w:r>
            <w:r>
              <w:rPr>
                <w:rFonts w:hint="eastAsia" w:ascii="Times New Roman" w:hAnsi="Times New Roman" w:eastAsia="宋体" w:cs="Times New Roman"/>
                <w:b w:val="0"/>
                <w:bCs w:val="0"/>
                <w:color w:val="auto"/>
                <w:kern w:val="0"/>
                <w:sz w:val="24"/>
                <w:szCs w:val="24"/>
                <w:lang w:val="en-US" w:eastAsia="zh-CN" w:bidi="ar-SA"/>
              </w:rPr>
              <w:t>t，</w:t>
            </w:r>
            <w:r>
              <w:rPr>
                <w:rFonts w:hint="default" w:ascii="Times New Roman" w:hAnsi="Times New Roman" w:eastAsia="宋体" w:cs="Times New Roman"/>
                <w:color w:val="auto"/>
                <w:kern w:val="0"/>
                <w:sz w:val="24"/>
                <w:szCs w:val="24"/>
                <w:lang w:val="en-US" w:eastAsia="zh-CN" w:bidi="ar-SA"/>
              </w:rPr>
              <w:t>沾油废防渗材料</w:t>
            </w:r>
            <w:r>
              <w:rPr>
                <w:rFonts w:hint="eastAsia" w:ascii="Times New Roman" w:hAnsi="Times New Roman" w:eastAsia="宋体" w:cs="Times New Roman"/>
                <w:color w:val="auto"/>
                <w:kern w:val="0"/>
                <w:sz w:val="24"/>
                <w:szCs w:val="24"/>
                <w:lang w:val="en-US" w:eastAsia="zh-CN" w:bidi="ar-SA"/>
              </w:rPr>
              <w:t>、</w:t>
            </w:r>
            <w:r>
              <w:rPr>
                <w:rFonts w:hint="default" w:ascii="Times New Roman" w:hAnsi="Times New Roman" w:eastAsia="宋体" w:cs="Times New Roman"/>
                <w:color w:val="auto"/>
                <w:kern w:val="0"/>
                <w:sz w:val="24"/>
                <w:szCs w:val="24"/>
                <w:lang w:val="en-US" w:eastAsia="zh-CN" w:bidi="ar-SA"/>
              </w:rPr>
              <w:t>废润滑油及废润滑油桶</w:t>
            </w:r>
            <w:r>
              <w:rPr>
                <w:rFonts w:hint="eastAsia" w:ascii="Times New Roman" w:hAnsi="Times New Roman" w:eastAsia="宋体" w:cs="Times New Roman"/>
                <w:color w:val="auto"/>
                <w:kern w:val="0"/>
                <w:sz w:val="24"/>
                <w:szCs w:val="24"/>
                <w:lang w:val="en-US" w:eastAsia="zh-CN" w:bidi="ar-SA"/>
              </w:rPr>
              <w:t>等危废的产生量约1.5t。</w:t>
            </w:r>
            <w:r>
              <w:rPr>
                <w:rFonts w:hint="default" w:ascii="Times New Roman" w:hAnsi="Times New Roman" w:eastAsia="宋体" w:cs="Times New Roman"/>
                <w:color w:val="auto"/>
                <w:kern w:val="0"/>
                <w:sz w:val="24"/>
                <w:szCs w:val="24"/>
                <w:lang w:val="en-US" w:eastAsia="zh-CN" w:bidi="ar-SA"/>
              </w:rPr>
              <w:t>新疆中建环能北庭环保科技有限公司</w:t>
            </w:r>
            <w:r>
              <w:rPr>
                <w:rFonts w:hint="eastAsia" w:ascii="Times New Roman" w:hAnsi="Times New Roman" w:eastAsia="宋体" w:cs="Times New Roman"/>
                <w:color w:val="auto"/>
                <w:kern w:val="0"/>
                <w:sz w:val="24"/>
                <w:szCs w:val="24"/>
                <w:lang w:val="en-US" w:eastAsia="zh-CN" w:bidi="ar-SA"/>
              </w:rPr>
              <w:t>处理能力可满足项目需求。建设单位应尽快和处置单位签订处置协议。</w:t>
            </w:r>
          </w:p>
          <w:bookmarkEnd w:id="129"/>
          <w:p>
            <w:pPr>
              <w:snapToGrid w:val="0"/>
              <w:spacing w:line="50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w:t>
            </w:r>
            <w:r>
              <w:rPr>
                <w:rFonts w:hint="eastAsia" w:cs="Times New Roman"/>
                <w:color w:val="auto"/>
                <w:lang w:val="en-US" w:eastAsia="zh-CN"/>
              </w:rPr>
              <w:t>3</w:t>
            </w:r>
            <w:r>
              <w:rPr>
                <w:rFonts w:hint="default" w:ascii="Times New Roman" w:hAnsi="Times New Roman" w:cs="Times New Roman"/>
                <w:color w:val="auto"/>
              </w:rPr>
              <w:t>）生活垃圾</w:t>
            </w:r>
          </w:p>
          <w:p>
            <w:pPr>
              <w:snapToGrid w:val="0"/>
              <w:spacing w:line="500" w:lineRule="exact"/>
              <w:ind w:firstLine="480" w:firstLineChars="200"/>
              <w:rPr>
                <w:rFonts w:hint="default" w:ascii="Times New Roman" w:hAnsi="Times New Roman" w:cs="Times New Roman"/>
                <w:color w:val="auto"/>
              </w:rPr>
            </w:pPr>
            <w:r>
              <w:rPr>
                <w:rFonts w:hint="default" w:ascii="Times New Roman" w:hAnsi="Times New Roman" w:cs="Times New Roman"/>
                <w:bCs/>
                <w:color w:val="auto"/>
                <w:lang w:val="en-US" w:eastAsia="zh-CN"/>
              </w:rPr>
              <w:t>本项目</w:t>
            </w:r>
            <w:r>
              <w:rPr>
                <w:rFonts w:hint="default" w:ascii="Times New Roman" w:hAnsi="Times New Roman" w:cs="Times New Roman"/>
                <w:bCs/>
                <w:color w:val="auto"/>
              </w:rPr>
              <w:t>设置生活垃圾收集箱，箱底铺设防渗膜，上部遮盖篷布，钻试期共计产生</w:t>
            </w:r>
            <w:r>
              <w:rPr>
                <w:rFonts w:hint="default" w:ascii="Times New Roman" w:hAnsi="Times New Roman" w:cs="Times New Roman"/>
                <w:bCs/>
                <w:color w:val="auto"/>
                <w:lang w:val="en-US" w:eastAsia="zh-CN"/>
              </w:rPr>
              <w:t>0.91</w:t>
            </w:r>
            <w:r>
              <w:rPr>
                <w:rFonts w:hint="default" w:ascii="Times New Roman" w:hAnsi="Times New Roman" w:cs="Times New Roman"/>
                <w:bCs/>
                <w:color w:val="auto"/>
              </w:rPr>
              <w:t>t生活垃圾，</w:t>
            </w:r>
            <w:r>
              <w:rPr>
                <w:rFonts w:hint="default" w:ascii="Times New Roman" w:hAnsi="Times New Roman" w:cs="Times New Roman"/>
                <w:color w:val="auto"/>
              </w:rPr>
              <w:t>集中收集后定期委托拉运至</w:t>
            </w:r>
            <w:r>
              <w:rPr>
                <w:rFonts w:hint="default" w:ascii="Times New Roman" w:hAnsi="Times New Roman" w:cs="Times New Roman"/>
                <w:color w:val="auto"/>
                <w:lang w:eastAsia="zh-CN"/>
              </w:rPr>
              <w:t>呼图壁县生活垃圾填埋场</w:t>
            </w:r>
            <w:r>
              <w:rPr>
                <w:rFonts w:hint="default" w:ascii="Times New Roman" w:hAnsi="Times New Roman" w:cs="Times New Roman"/>
                <w:color w:val="auto"/>
              </w:rPr>
              <w:t>处置。</w:t>
            </w:r>
          </w:p>
          <w:p>
            <w:pPr>
              <w:keepNext w:val="0"/>
              <w:keepLines w:val="0"/>
              <w:pageBreakBefore w:val="0"/>
              <w:widowControl w:val="0"/>
              <w:kinsoku/>
              <w:wordWrap w:val="0"/>
              <w:overflowPunct/>
              <w:topLinePunct/>
              <w:autoSpaceDE w:val="0"/>
              <w:autoSpaceDN w:val="0"/>
              <w:bidi w:val="0"/>
              <w:adjustRightInd/>
              <w:snapToGrid w:val="0"/>
              <w:spacing w:line="500" w:lineRule="exact"/>
              <w:ind w:firstLine="480" w:firstLineChars="200"/>
              <w:jc w:val="both"/>
              <w:textAlignment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bCs/>
                <w:color w:val="auto"/>
                <w:kern w:val="2"/>
                <w:sz w:val="24"/>
                <w:szCs w:val="24"/>
                <w:highlight w:val="none"/>
                <w:lang w:val="en-US" w:eastAsia="zh-CN" w:bidi="ar-SA"/>
              </w:rPr>
              <w:t>呼图壁县生活垃圾填埋场位于大丰镇北部约15km，地理坐标为东经</w:t>
            </w:r>
            <w:bookmarkStart w:id="131" w:name="OLE_LINK60"/>
            <w:r>
              <w:rPr>
                <w:rFonts w:hint="default" w:ascii="Times New Roman" w:hAnsi="Times New Roman" w:eastAsia="宋体" w:cs="Times New Roman"/>
                <w:bCs/>
                <w:color w:val="auto"/>
                <w:kern w:val="2"/>
                <w:sz w:val="24"/>
                <w:szCs w:val="24"/>
                <w:highlight w:val="none"/>
                <w:lang w:val="en-US" w:eastAsia="zh-CN" w:bidi="ar-SA"/>
              </w:rPr>
              <w:t>86°36′48.40″</w:t>
            </w:r>
            <w:bookmarkEnd w:id="131"/>
            <w:r>
              <w:rPr>
                <w:rFonts w:hint="default" w:ascii="Times New Roman" w:hAnsi="Times New Roman" w:eastAsia="宋体" w:cs="Times New Roman"/>
                <w:bCs/>
                <w:color w:val="auto"/>
                <w:kern w:val="2"/>
                <w:sz w:val="24"/>
                <w:szCs w:val="24"/>
                <w:highlight w:val="none"/>
                <w:lang w:val="en-US" w:eastAsia="zh-CN" w:bidi="ar-SA"/>
              </w:rPr>
              <w:t>，北纬</w:t>
            </w:r>
            <w:bookmarkStart w:id="132" w:name="OLE_LINK61"/>
            <w:r>
              <w:rPr>
                <w:rFonts w:hint="default" w:ascii="Times New Roman" w:hAnsi="Times New Roman" w:eastAsia="宋体" w:cs="Times New Roman"/>
                <w:bCs/>
                <w:color w:val="auto"/>
                <w:kern w:val="2"/>
                <w:sz w:val="24"/>
                <w:szCs w:val="24"/>
                <w:highlight w:val="none"/>
                <w:lang w:val="en-US" w:eastAsia="zh-CN" w:bidi="ar-SA"/>
              </w:rPr>
              <w:t>44°19′48.60″</w:t>
            </w:r>
            <w:bookmarkEnd w:id="132"/>
            <w:r>
              <w:rPr>
                <w:rFonts w:hint="default" w:ascii="Times New Roman" w:hAnsi="Times New Roman" w:eastAsia="宋体" w:cs="Times New Roman"/>
                <w:bCs/>
                <w:color w:val="auto"/>
                <w:kern w:val="2"/>
                <w:sz w:val="24"/>
                <w:szCs w:val="24"/>
                <w:highlight w:val="none"/>
                <w:lang w:val="en-US" w:eastAsia="zh-CN" w:bidi="ar-SA"/>
              </w:rPr>
              <w:t>，建于2013年，设计库容54.18万m</w:t>
            </w:r>
            <w:r>
              <w:rPr>
                <w:rFonts w:hint="default" w:ascii="Times New Roman" w:hAnsi="Times New Roman" w:eastAsia="宋体" w:cs="Times New Roman"/>
                <w:bCs/>
                <w:color w:val="auto"/>
                <w:kern w:val="2"/>
                <w:sz w:val="24"/>
                <w:szCs w:val="24"/>
                <w:highlight w:val="none"/>
                <w:vertAlign w:val="superscript"/>
                <w:lang w:val="en-US" w:eastAsia="zh-CN" w:bidi="ar-SA"/>
              </w:rPr>
              <w:t>3</w:t>
            </w:r>
            <w:r>
              <w:rPr>
                <w:rFonts w:hint="default" w:ascii="Times New Roman" w:hAnsi="Times New Roman" w:eastAsia="宋体" w:cs="Times New Roman"/>
                <w:bCs/>
                <w:color w:val="auto"/>
                <w:kern w:val="2"/>
                <w:sz w:val="24"/>
                <w:szCs w:val="24"/>
                <w:highlight w:val="none"/>
                <w:lang w:val="en-US" w:eastAsia="zh-CN" w:bidi="ar-SA"/>
              </w:rPr>
              <w:t>，设计使用年限16年，目前已服役8年，仍在使用年限内。本项目施工期生活垃圾产生量较少，约0.91t，相对于该垃圾填埋场的库容所占比例很小，依托可行。</w:t>
            </w:r>
          </w:p>
          <w:bookmarkEnd w:id="123"/>
          <w:p>
            <w:pPr>
              <w:snapToGrid w:val="0"/>
              <w:spacing w:line="500" w:lineRule="exact"/>
              <w:ind w:firstLine="480" w:firstLineChars="200"/>
              <w:rPr>
                <w:rFonts w:hint="default" w:ascii="Times New Roman" w:hAnsi="Times New Roman" w:eastAsia="宋体" w:cs="Times New Roman"/>
                <w:color w:val="auto"/>
                <w:lang w:val="en-US" w:eastAsia="zh-CN"/>
              </w:rPr>
            </w:pPr>
            <w:bookmarkStart w:id="133" w:name="_Hlk183361156"/>
            <w:bookmarkStart w:id="134" w:name="_Hlk136792721"/>
            <w:r>
              <w:rPr>
                <w:rFonts w:hint="default" w:ascii="Times New Roman" w:hAnsi="Times New Roman" w:cs="Times New Roman"/>
                <w:color w:val="auto"/>
              </w:rPr>
              <w:t>（</w:t>
            </w:r>
            <w:r>
              <w:rPr>
                <w:rFonts w:hint="eastAsia" w:cs="Times New Roman"/>
                <w:color w:val="auto"/>
                <w:lang w:val="en-US" w:eastAsia="zh-CN"/>
              </w:rPr>
              <w:t>4</w:t>
            </w:r>
            <w:r>
              <w:rPr>
                <w:rFonts w:hint="default" w:ascii="Times New Roman" w:hAnsi="Times New Roman" w:cs="Times New Roman"/>
                <w:color w:val="auto"/>
              </w:rPr>
              <w:t>）</w:t>
            </w:r>
            <w:r>
              <w:rPr>
                <w:rFonts w:hint="eastAsia" w:ascii="Times New Roman" w:hAnsi="Times New Roman" w:cs="Times New Roman"/>
                <w:color w:val="auto"/>
                <w:lang w:val="en-US" w:eastAsia="zh-CN"/>
              </w:rPr>
              <w:t>建筑垃圾</w:t>
            </w:r>
          </w:p>
          <w:p>
            <w:pPr>
              <w:snapToGrid w:val="0"/>
              <w:spacing w:line="480" w:lineRule="exact"/>
              <w:ind w:firstLine="480" w:firstLineChars="200"/>
              <w:rPr>
                <w:rFonts w:hint="default" w:ascii="Times New Roman" w:hAnsi="Times New Roman" w:cs="Times New Roman"/>
                <w:color w:val="auto"/>
                <w:lang w:bidi="ar"/>
              </w:rPr>
            </w:pPr>
            <w:r>
              <w:rPr>
                <w:rFonts w:hint="eastAsia" w:cs="Times New Roman"/>
                <w:color w:val="auto"/>
                <w:lang w:val="en-US" w:eastAsia="zh-CN" w:bidi="ar"/>
              </w:rPr>
              <w:t>建筑垃圾集中收集在垃圾箱后送至当地建筑垃圾填埋场。</w:t>
            </w:r>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lang w:bidi="ar"/>
              </w:rPr>
              <w:t>（</w:t>
            </w:r>
            <w:r>
              <w:rPr>
                <w:rFonts w:hint="eastAsia" w:cs="Times New Roman"/>
                <w:color w:val="auto"/>
                <w:lang w:val="en-US" w:eastAsia="zh-CN" w:bidi="ar"/>
              </w:rPr>
              <w:t>5</w:t>
            </w:r>
            <w:r>
              <w:rPr>
                <w:rFonts w:hint="default" w:ascii="Times New Roman" w:hAnsi="Times New Roman" w:cs="Times New Roman"/>
                <w:color w:val="auto"/>
                <w:lang w:bidi="ar"/>
              </w:rPr>
              <w:t>）环境管理要求</w:t>
            </w:r>
          </w:p>
          <w:p>
            <w:pPr>
              <w:snapToGrid w:val="0"/>
              <w:spacing w:line="480" w:lineRule="exact"/>
              <w:ind w:firstLine="480" w:firstLineChars="200"/>
              <w:rPr>
                <w:rFonts w:hint="default" w:ascii="Times New Roman" w:hAnsi="Times New Roman" w:eastAsia="宋体" w:cs="Times New Roman"/>
                <w:color w:val="auto"/>
                <w:lang w:val="en-US" w:eastAsia="zh-CN" w:bidi="ar"/>
              </w:rPr>
            </w:pPr>
            <w:r>
              <w:rPr>
                <w:rFonts w:hint="default" w:ascii="Times New Roman" w:hAnsi="Times New Roman" w:cs="Times New Roman"/>
                <w:color w:val="auto"/>
                <w:lang w:bidi="ar"/>
              </w:rPr>
              <w:t>①</w:t>
            </w:r>
            <w:r>
              <w:rPr>
                <w:rFonts w:hint="eastAsia" w:cs="Times New Roman"/>
                <w:color w:val="auto"/>
                <w:lang w:val="en-US" w:eastAsia="zh-CN" w:bidi="ar"/>
              </w:rPr>
              <w:t>一般工业固废环境管理要求</w:t>
            </w:r>
          </w:p>
          <w:p>
            <w:pPr>
              <w:keepNext w:val="0"/>
              <w:keepLines w:val="0"/>
              <w:pageBreakBefore w:val="0"/>
              <w:widowControl w:val="0"/>
              <w:numPr>
                <w:ilvl w:val="0"/>
                <w:numId w:val="18"/>
              </w:numPr>
              <w:kinsoku/>
              <w:wordWrap/>
              <w:overflowPunct/>
              <w:topLinePunct w:val="0"/>
              <w:autoSpaceDE/>
              <w:autoSpaceDN/>
              <w:bidi w:val="0"/>
              <w:adjustRightInd/>
              <w:snapToGrid w:val="0"/>
              <w:spacing w:line="480" w:lineRule="exact"/>
              <w:ind w:left="0" w:leftChars="0" w:firstLine="480" w:firstLineChars="200"/>
              <w:textAlignment w:val="auto"/>
              <w:rPr>
                <w:rFonts w:hint="default" w:ascii="Times New Roman" w:hAnsi="Times New Roman" w:cs="Times New Roman"/>
                <w:color w:val="auto"/>
              </w:rPr>
            </w:pPr>
            <w:r>
              <w:rPr>
                <w:rFonts w:hint="default" w:ascii="Times New Roman" w:hAnsi="Times New Roman" w:cs="Times New Roman"/>
                <w:color w:val="auto"/>
                <w:lang w:bidi="ar"/>
              </w:rPr>
              <w:t>建设单位应落实污染环境防治责任制度，建立健全工业固体废物产生、收集、贮存、运输、利用、处置全过程的污染环境防治责任制度。建立工业固体废物管理台账，如实记录产生工业固体废物的种类、数量、流向、贮存、利用、处置等信息，实现工业固体废物可追溯、可查询。</w:t>
            </w:r>
          </w:p>
          <w:p>
            <w:pPr>
              <w:pStyle w:val="25"/>
              <w:widowControl w:val="0"/>
              <w:numPr>
                <w:ilvl w:val="0"/>
                <w:numId w:val="18"/>
              </w:numPr>
              <w:spacing w:before="0" w:beforeAutospacing="0" w:after="0" w:afterAutospacing="0" w:line="480" w:lineRule="exact"/>
              <w:ind w:left="0" w:leftChars="0" w:right="-56" w:firstLine="480" w:firstLineChars="200"/>
              <w:jc w:val="both"/>
              <w:rPr>
                <w:rFonts w:hint="default" w:ascii="Times New Roman" w:hAnsi="Times New Roman" w:cs="Times New Roman"/>
                <w:color w:val="auto"/>
              </w:rPr>
            </w:pPr>
            <w:r>
              <w:rPr>
                <w:rFonts w:hint="default" w:ascii="Times New Roman" w:hAnsi="Times New Roman" w:cs="Times New Roman"/>
                <w:color w:val="auto"/>
                <w:kern w:val="2"/>
                <w:lang w:bidi="ar"/>
              </w:rPr>
              <w:t>建设单位应与具有相应具有固体废物处置资质的单位签订书面合同，在合同中约定污染防治要求，由受托方负责处置水基岩屑。</w:t>
            </w:r>
          </w:p>
          <w:p>
            <w:pPr>
              <w:snapToGrid w:val="0"/>
              <w:spacing w:line="480" w:lineRule="exact"/>
              <w:ind w:firstLine="480" w:firstLineChars="200"/>
              <w:rPr>
                <w:rFonts w:hint="default" w:ascii="Times New Roman" w:hAnsi="Times New Roman" w:cs="Times New Roman"/>
                <w:color w:val="auto"/>
              </w:rPr>
            </w:pPr>
            <w:bookmarkStart w:id="135" w:name="_Hlk183363774"/>
            <w:r>
              <w:rPr>
                <w:rFonts w:hint="default" w:ascii="Times New Roman" w:hAnsi="Times New Roman" w:cs="Times New Roman"/>
                <w:color w:val="auto"/>
              </w:rPr>
              <w:t>②</w:t>
            </w:r>
            <w:r>
              <w:rPr>
                <w:rFonts w:hint="default" w:ascii="Times New Roman" w:hAnsi="Times New Roman" w:cs="Times New Roman"/>
                <w:color w:val="auto"/>
                <w:lang w:bidi="ar"/>
              </w:rPr>
              <w:t>危险废物环境管理要求</w:t>
            </w:r>
            <w:bookmarkEnd w:id="135"/>
          </w:p>
          <w:bookmarkEnd w:id="133"/>
          <w:p>
            <w:pPr>
              <w:keepNext w:val="0"/>
              <w:keepLines w:val="0"/>
              <w:pageBreakBefore w:val="0"/>
              <w:widowControl w:val="0"/>
              <w:numPr>
                <w:ilvl w:val="0"/>
                <w:numId w:val="19"/>
              </w:numPr>
              <w:kinsoku/>
              <w:wordWrap/>
              <w:overflowPunct/>
              <w:topLinePunct w:val="0"/>
              <w:autoSpaceDE/>
              <w:autoSpaceDN/>
              <w:bidi w:val="0"/>
              <w:adjustRightInd/>
              <w:snapToGrid w:val="0"/>
              <w:spacing w:line="480" w:lineRule="exact"/>
              <w:ind w:left="0" w:leftChars="0" w:firstLine="425" w:firstLineChars="0"/>
              <w:textAlignment w:val="auto"/>
              <w:rPr>
                <w:rFonts w:hint="default" w:ascii="Times New Roman" w:hAnsi="Times New Roman" w:cs="Times New Roman"/>
                <w:color w:val="auto"/>
              </w:rPr>
            </w:pPr>
            <w:r>
              <w:rPr>
                <w:rFonts w:hint="default" w:ascii="Times New Roman" w:hAnsi="Times New Roman" w:cs="Times New Roman"/>
                <w:color w:val="auto"/>
                <w:lang w:val="en-US" w:eastAsia="zh-CN"/>
              </w:rPr>
              <w:t>建设单位应</w:t>
            </w:r>
            <w:r>
              <w:rPr>
                <w:rFonts w:hint="default" w:ascii="Times New Roman" w:hAnsi="Times New Roman" w:cs="Times New Roman"/>
                <w:color w:val="auto"/>
              </w:rPr>
              <w:t>落实污染环境防治责任制度，建立健全工业危险废物产生、收集、贮存、运输、利用、处置全过程的污染环境防治责任制度。</w:t>
            </w:r>
          </w:p>
          <w:p>
            <w:pPr>
              <w:numPr>
                <w:ilvl w:val="0"/>
                <w:numId w:val="19"/>
              </w:numPr>
              <w:snapToGrid w:val="0"/>
              <w:spacing w:line="480" w:lineRule="exact"/>
              <w:ind w:left="0" w:leftChars="0" w:firstLine="425" w:firstLineChars="0"/>
              <w:rPr>
                <w:rFonts w:hint="default" w:ascii="Times New Roman" w:hAnsi="Times New Roman" w:cs="Times New Roman"/>
                <w:color w:val="auto"/>
              </w:rPr>
            </w:pPr>
            <w:r>
              <w:rPr>
                <w:rFonts w:hint="default" w:ascii="Times New Roman" w:hAnsi="Times New Roman" w:cs="Times New Roman"/>
                <w:color w:val="auto"/>
              </w:rPr>
              <w:t>按照《环境保护图形标志 固体废物贮存（处置）场》（GB15562.2）、《危险废物识别标志设置技术规范》（HJ1276-2022）等有关规定，对危险废物的容器和收集、贮存、危险废物的场所设置危险废物识别标志。</w:t>
            </w:r>
          </w:p>
          <w:p>
            <w:pPr>
              <w:numPr>
                <w:ilvl w:val="0"/>
                <w:numId w:val="19"/>
              </w:numPr>
              <w:snapToGrid w:val="0"/>
              <w:spacing w:line="480" w:lineRule="exact"/>
              <w:ind w:left="0" w:leftChars="0" w:firstLine="425" w:firstLineChars="0"/>
              <w:rPr>
                <w:rFonts w:hint="default" w:ascii="Times New Roman" w:hAnsi="Times New Roman" w:cs="Times New Roman"/>
                <w:color w:val="auto"/>
              </w:rPr>
            </w:pPr>
            <w:r>
              <w:rPr>
                <w:rFonts w:hint="default" w:ascii="Times New Roman" w:hAnsi="Times New Roman" w:cs="Times New Roman"/>
                <w:color w:val="auto"/>
              </w:rPr>
              <w:t>按照《</w:t>
            </w:r>
            <w:r>
              <w:rPr>
                <w:rFonts w:hint="eastAsia" w:cs="Times New Roman"/>
                <w:color w:val="auto"/>
                <w:lang w:eastAsia="zh-CN"/>
              </w:rPr>
              <w:t>危险废物管理计划和管理台账制定技术导则</w:t>
            </w:r>
            <w:r>
              <w:rPr>
                <w:rFonts w:hint="default" w:ascii="Times New Roman" w:hAnsi="Times New Roman" w:cs="Times New Roman"/>
                <w:color w:val="auto"/>
              </w:rPr>
              <w:t>》（HJ1259-2022）等有关要求制定危险废物管理计划，并报所在地生态环境主管部门备案。</w:t>
            </w:r>
          </w:p>
          <w:p>
            <w:pPr>
              <w:numPr>
                <w:ilvl w:val="0"/>
                <w:numId w:val="19"/>
              </w:numPr>
              <w:snapToGrid w:val="0"/>
              <w:spacing w:line="480" w:lineRule="exact"/>
              <w:ind w:left="0" w:leftChars="0" w:firstLine="425" w:firstLineChars="0"/>
              <w:rPr>
                <w:rFonts w:hint="default" w:ascii="Times New Roman" w:hAnsi="Times New Roman" w:cs="Times New Roman"/>
                <w:color w:val="auto"/>
              </w:rPr>
            </w:pPr>
            <w:r>
              <w:rPr>
                <w:rFonts w:hint="default" w:ascii="Times New Roman" w:hAnsi="Times New Roman" w:cs="Times New Roman"/>
                <w:color w:val="auto"/>
              </w:rPr>
              <w:t>落实危险废物管理台账及申报制度，建立危险废物管理台账，如实记录有关信息，并通过国家危险废物信息管理系统向所在地生态环境主管部门申报危险废物的种类、产生量、流向、贮存、处置等有关资料。</w:t>
            </w:r>
          </w:p>
          <w:p>
            <w:pPr>
              <w:numPr>
                <w:ilvl w:val="0"/>
                <w:numId w:val="19"/>
              </w:numPr>
              <w:snapToGrid w:val="0"/>
              <w:spacing w:line="480" w:lineRule="exact"/>
              <w:ind w:left="0" w:leftChars="0" w:firstLine="425" w:firstLineChars="0"/>
              <w:rPr>
                <w:rFonts w:hint="default" w:ascii="Times New Roman" w:hAnsi="Times New Roman" w:cs="Times New Roman"/>
                <w:color w:val="auto"/>
              </w:rPr>
            </w:pPr>
            <w:r>
              <w:rPr>
                <w:rFonts w:hint="default" w:ascii="Times New Roman" w:hAnsi="Times New Roman" w:cs="Times New Roman"/>
                <w:color w:val="auto"/>
              </w:rPr>
              <w:t>落实危险废物转移联单制度，转移危险废物的，应当按照《危险废物转移管理办法》的有关规定填写、运行危险废物转移联单。</w:t>
            </w:r>
          </w:p>
          <w:p>
            <w:pPr>
              <w:numPr>
                <w:ilvl w:val="0"/>
                <w:numId w:val="19"/>
              </w:numPr>
              <w:snapToGrid w:val="0"/>
              <w:spacing w:line="480" w:lineRule="exact"/>
              <w:ind w:left="0" w:leftChars="0" w:firstLine="425" w:firstLineChars="0"/>
              <w:rPr>
                <w:rFonts w:hint="default" w:ascii="Times New Roman" w:hAnsi="Times New Roman" w:cs="Times New Roman"/>
                <w:color w:val="auto"/>
              </w:rPr>
            </w:pPr>
            <w:r>
              <w:rPr>
                <w:rFonts w:hint="default" w:ascii="Times New Roman" w:hAnsi="Times New Roman" w:cs="Times New Roman"/>
                <w:color w:val="auto"/>
              </w:rPr>
              <w:t>各类危险废物分区暂存在井场设置的危险废物贮存点，危废贮存点建设须满足《危险废物贮存污染控制标准》（GB18597-2023）中的相关要求，具体如下：井场危废贮存点应采取防风、防雨、防晒和防止危险废物流失、扬散等措施；贮存点贮存的危险废物应置于容器或包装物中，不应直接散堆；应根据危险废物的形态、物理化学性质、包装形式等，采取防渗、防漏等污染防治措施；贮存点应及时清运贮存的危险废物，实时贮存量不应超过3t。</w:t>
            </w:r>
            <w:r>
              <w:rPr>
                <w:rFonts w:hint="default" w:ascii="Times New Roman" w:hAnsi="Times New Roman" w:cs="Times New Roman"/>
                <w:color w:val="auto"/>
                <w:lang w:bidi="ar"/>
              </w:rPr>
              <w:t>各类危险废物定期由依法签订书面合同具有相应危险废物处置资质的单位（受托方）进行接收、转运和处置。</w:t>
            </w:r>
          </w:p>
          <w:p>
            <w:pPr>
              <w:numPr>
                <w:ilvl w:val="0"/>
                <w:numId w:val="19"/>
              </w:numPr>
              <w:snapToGrid w:val="0"/>
              <w:spacing w:line="480" w:lineRule="exact"/>
              <w:ind w:left="0" w:leftChars="0" w:firstLine="425" w:firstLineChars="0"/>
              <w:rPr>
                <w:rFonts w:hint="default" w:ascii="Times New Roman" w:hAnsi="Times New Roman" w:cs="Times New Roman"/>
                <w:color w:val="auto"/>
              </w:rPr>
            </w:pPr>
            <w:r>
              <w:rPr>
                <w:rFonts w:hint="default" w:ascii="Times New Roman" w:hAnsi="Times New Roman" w:cs="Times New Roman"/>
                <w:color w:val="auto"/>
              </w:rPr>
              <w:t>危险废物存入贮存设施前应对危险废物类别和特性与危险废物标签等危险废物识别标志的一致性进行核验，不一致的或类别、特性不明的不应存入；应定期检查危险废物的贮存状况，及时清理贮存设施地面，更换破损泄漏的危险废物贮存容器，保证堆存危险废物的防雨、防风、防扬尘等设施功能完好；贮存设施所有者或运营者应建立贮存设施环境管理制度、管理人员岗位职责制度、设施运行操作制度、人员岗位培训制度等。</w:t>
            </w:r>
          </w:p>
          <w:bookmarkEnd w:id="134"/>
          <w:p>
            <w:pPr>
              <w:pStyle w:val="10"/>
              <w:bidi w:val="0"/>
              <w:rPr>
                <w:rFonts w:hint="default"/>
                <w:color w:val="auto"/>
              </w:rPr>
            </w:pPr>
            <w:r>
              <w:rPr>
                <w:rFonts w:hint="default"/>
                <w:color w:val="auto"/>
                <w:lang w:val="en-US" w:eastAsia="zh-CN"/>
              </w:rPr>
              <w:t>综上，严格落实各项</w:t>
            </w:r>
            <w:r>
              <w:rPr>
                <w:rFonts w:hint="default"/>
                <w:color w:val="auto"/>
              </w:rPr>
              <w:t>固体废物处置措施</w:t>
            </w:r>
            <w:r>
              <w:rPr>
                <w:rFonts w:hint="default"/>
                <w:color w:val="auto"/>
                <w:lang w:val="en-US" w:eastAsia="zh-CN"/>
              </w:rPr>
              <w:t>后</w:t>
            </w:r>
            <w:r>
              <w:rPr>
                <w:rFonts w:hint="default"/>
                <w:color w:val="auto"/>
              </w:rPr>
              <w:t>，</w:t>
            </w:r>
            <w:r>
              <w:rPr>
                <w:rFonts w:hint="default"/>
                <w:color w:val="auto"/>
                <w:lang w:val="en-US" w:eastAsia="zh-CN"/>
              </w:rPr>
              <w:t>项目施工期</w:t>
            </w:r>
            <w:r>
              <w:rPr>
                <w:rFonts w:hint="default"/>
                <w:color w:val="auto"/>
              </w:rPr>
              <w:t>产生的固体废物均得到妥善处置，不会对环境造成不利影响。</w:t>
            </w:r>
          </w:p>
          <w:p>
            <w:pPr>
              <w:pStyle w:val="54"/>
              <w:numPr>
                <w:ilvl w:val="0"/>
                <w:numId w:val="9"/>
              </w:numPr>
              <w:bidi w:val="0"/>
              <w:ind w:left="9" w:leftChars="0" w:firstLineChars="0"/>
              <w:rPr>
                <w:rFonts w:hint="default"/>
                <w:color w:val="auto"/>
              </w:rPr>
            </w:pPr>
            <w:r>
              <w:rPr>
                <w:rFonts w:hint="default"/>
                <w:color w:val="auto"/>
              </w:rPr>
              <w:t>环境风险应急措施及应急要求</w:t>
            </w:r>
          </w:p>
          <w:p>
            <w:pPr>
              <w:pStyle w:val="10"/>
              <w:bidi w:val="0"/>
              <w:rPr>
                <w:rFonts w:hint="default"/>
                <w:color w:val="auto"/>
              </w:rPr>
            </w:pPr>
            <w:r>
              <w:rPr>
                <w:rFonts w:hint="default"/>
                <w:color w:val="auto"/>
              </w:rPr>
              <w:t>（1）建设单位以及施工钻井队结合行业作业规范，设置专职安全环保管理人员，把安全、环境管理纳入生产管理的各个环节，对防止事故的发生能起到非常积极的作用。现场作业严格按照《石油天然气钻井作业健康、安全与环境管理导则》（Q/SY08053-2017）的要求执行。</w:t>
            </w:r>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（2）井喷环境风险防范措施</w:t>
            </w:r>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①设有井控装置，钻井工程中各岗位必须严格分工，定期对井控装置进行维护、保养、检查，保证井控装置及工具灵活可用、始终处于待命状态；落实溢流监测岗位、关井操作岗位和钻井队干部值班制度。</w:t>
            </w:r>
          </w:p>
          <w:p>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default" w:ascii="Times New Roman" w:hAnsi="Times New Roman" w:cs="Times New Roman"/>
                <w:color w:val="auto"/>
              </w:rPr>
            </w:pPr>
            <w:r>
              <w:rPr>
                <w:rFonts w:hint="default" w:ascii="Times New Roman" w:hAnsi="Times New Roman" w:cs="Times New Roman"/>
                <w:color w:val="auto"/>
              </w:rPr>
              <w:t>②钻开油层后：落实专人坐岗，观察井口和循环池液面变化，发现溢流、井漏及油气显示等异常情况应立即报告司钻；钻开油层后，每次起下钻（离上次活动时间超过5d）对闸板防喷器及手动锁紧装置开关活动一次，定期对井控装置进行试压；起钻杆时每3～5柱向环空灌满泥浆，起钻铤要连续灌浆，</w:t>
            </w:r>
            <w:r>
              <w:rPr>
                <w:rFonts w:hint="eastAsia" w:cs="Times New Roman"/>
                <w:color w:val="auto"/>
                <w:lang w:eastAsia="zh-CN"/>
              </w:rPr>
              <w:t>做好</w:t>
            </w:r>
            <w:r>
              <w:rPr>
                <w:rFonts w:hint="default" w:ascii="Times New Roman" w:hAnsi="Times New Roman" w:cs="Times New Roman"/>
                <w:color w:val="auto"/>
              </w:rPr>
              <w:t>记录、校核，若灌入泥浆量大于或小于应灌入量，均应停止起钻作业并进行观察。如有溢流，应立即关井求压。如有井漏，应及时采取相应措施。安排专人观察出口管钻井液返出情况，严禁在空井情况下检修设备；钻开油层后，所有车辆应停放在距井口以外30m，必须进入距井口30m以内的车辆，应安装阻火器，车头朝外停放。</w:t>
            </w:r>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③溢流处理和压井措施：最大允许关井压力应考虑井口装置额定工作压力、套管抗内压强度的80%和薄弱地层破裂压力所允许的关井压力。在允许关井套压内严禁放喷。天然气溢流不允许长时间关井而不作处理。在等候加重材料或在加重过程中，应采取井筒压力控制措施防止井口压力过高。空井溢流关井后，根据溢流的严重程度，可采用置换法和压回法等方法进行处理。</w:t>
            </w:r>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④测井、固井、完井等作业时，要严格执行安全操作规程和井控措施，避免发生井下复杂情况和井喷失控事故。电测前井内情况应正常、稳定；测井队到井后应向井队了解井况，确认油气上窜安全作业时间，若电测时间超过等值时间，应中途通井循环再电测。测井队专用剪切工具应放置在钻台上，随时处于待命状态。发生溢流征兆应立即停止电测，尽快起出井内电缆，当危及井控安全时，立即实施剪断电缆并关井。由钻井队队长决定何时切断电缆并进行关井作业，测井队队长负责实施剪断电缆工作。不允许用关闭环形防喷器的方法起电缆。</w:t>
            </w:r>
          </w:p>
          <w:p>
            <w:pPr>
              <w:snapToGrid w:val="0"/>
              <w:spacing w:line="480" w:lineRule="exact"/>
              <w:ind w:firstLine="480" w:firstLineChars="200"/>
              <w:rPr>
                <w:rFonts w:hint="default" w:ascii="Times New Roman" w:hAnsi="Times New Roman" w:cs="Times New Roman"/>
                <w:color w:val="auto"/>
              </w:rPr>
            </w:pPr>
            <w:bookmarkStart w:id="136" w:name="_Hlk183350582"/>
            <w:r>
              <w:rPr>
                <w:rFonts w:hint="default" w:ascii="Times New Roman" w:hAnsi="Times New Roman" w:cs="Times New Roman"/>
                <w:color w:val="auto"/>
                <w:lang w:bidi="ar"/>
              </w:rPr>
              <w:t>⑤一旦发生井喷突发事件，应立即启动相应的环境突发事件专项应急预案，立即关闭井口切断污染源，根据需要建设应急放喷池（20m×10m），控制原油污染面积，对放喷液进行集中收集处理，同时及时通知可能受影响的人员进行疏散；切断一切可能扩大污染范围的环节，严防污染区域的扩大。采取围、堵等措施限制固体废弃物和溢油扩散范围；</w:t>
            </w:r>
            <w:bookmarkStart w:id="137" w:name="_Hlk183363993"/>
            <w:r>
              <w:rPr>
                <w:rFonts w:hint="default" w:ascii="Times New Roman" w:hAnsi="Times New Roman" w:cs="Times New Roman"/>
                <w:color w:val="auto"/>
                <w:lang w:bidi="ar"/>
              </w:rPr>
              <w:t>将溢油最大限度地回收，对少量确实无法回收的油以及受污染的土壤形成的落地油，采用铲除油泥层等有效方法，落地油集中收集后不在井场贮存，直接交由具有相应危废处置资质的单位进行接收、转运和处置，以降低残油对生态环境的污染程度；</w:t>
            </w:r>
            <w:bookmarkEnd w:id="137"/>
            <w:r>
              <w:rPr>
                <w:rFonts w:hint="default" w:ascii="Times New Roman" w:hAnsi="Times New Roman" w:cs="Times New Roman"/>
                <w:color w:val="auto"/>
                <w:lang w:bidi="ar"/>
              </w:rPr>
              <w:t>同时迅速布点监测，在第一时间确定污染物种类和浓度，出具监测数据，评估污染物转移、扩散速率；对污染状况进行跟踪调查，根据监测数据分析，预测污染迁移强度、速度和影响范围，及时调整对策。</w:t>
            </w:r>
            <w:bookmarkEnd w:id="136"/>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⑥试油期产生的伴生气气量不稳定，不具备回收利用条件，经放喷管线充分燃烧后排放；建设单位应定期检查伴生气燃烧设备，加强燃烧设备的运营维护，确保伴生气充分燃烧，减少污染物的排放。</w:t>
            </w:r>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（3）储罐泄漏</w:t>
            </w:r>
            <w:r>
              <w:rPr>
                <w:rFonts w:hint="eastAsia" w:cs="Times New Roman"/>
                <w:color w:val="auto"/>
                <w:lang w:val="en-US" w:eastAsia="zh-CN"/>
              </w:rPr>
              <w:t>防控</w:t>
            </w:r>
            <w:r>
              <w:rPr>
                <w:rFonts w:hint="default" w:ascii="Times New Roman" w:hAnsi="Times New Roman" w:cs="Times New Roman"/>
                <w:color w:val="auto"/>
              </w:rPr>
              <w:t>措施</w:t>
            </w:r>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①选用质量、防腐措施合格的储罐。安装过程中焊接要经过100%的探伤，安装时应选择刚性不燃的坚固基础作为罐体基础。储罐在投用前，必须严格按照《压力容器安全技术监察规程》进行强度和气密性试验。</w:t>
            </w:r>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②储罐区应严格用火管理，采用有效的避雷装置和接地装置等防止雷电的措施。</w:t>
            </w:r>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③加强储罐和管线接口的检查工作，防止腐蚀穿孔。定期进行壁厚检测，腐蚀余量低于规定的允许值时，要及时进行检修和更换。</w:t>
            </w:r>
          </w:p>
          <w:p>
            <w:pPr>
              <w:snapToGrid w:val="0"/>
              <w:spacing w:line="480" w:lineRule="exact"/>
              <w:ind w:firstLine="480" w:firstLineChars="200"/>
              <w:rPr>
                <w:rFonts w:hint="default" w:ascii="Times New Roman" w:hAnsi="Times New Roman" w:cs="Times New Roman"/>
                <w:color w:val="auto"/>
              </w:rPr>
            </w:pPr>
            <w:bookmarkStart w:id="138" w:name="_Hlk183350612"/>
            <w:r>
              <w:rPr>
                <w:rFonts w:hint="default" w:ascii="Times New Roman" w:hAnsi="Times New Roman" w:cs="Times New Roman"/>
                <w:color w:val="auto"/>
                <w:lang w:bidi="ar"/>
              </w:rPr>
              <w:t>④</w:t>
            </w:r>
            <w:bookmarkStart w:id="139" w:name="_Hlk183364061"/>
            <w:r>
              <w:rPr>
                <w:rFonts w:hint="default" w:ascii="Times New Roman" w:hAnsi="Times New Roman" w:cs="Times New Roman"/>
                <w:color w:val="auto"/>
                <w:lang w:bidi="ar"/>
              </w:rPr>
              <w:t>井场各类储罐、特别是油类物质及危险废物储罐底部均应铺设符合要求的防渗材料，一旦发生泄漏须及时发现并采取有效的堵漏措施，同时对产生的落地油集中收集，不在井场贮存，直接交由具有相应危废处置资质的单位进行接收、转运和处置；加强储罐运输环节的管理，避免出现储罐泄漏风险事故发生。</w:t>
            </w:r>
            <w:bookmarkEnd w:id="138"/>
            <w:bookmarkEnd w:id="139"/>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⑤加强消防安全管理</w:t>
            </w:r>
          </w:p>
          <w:p>
            <w:pPr>
              <w:snapToGrid w:val="0"/>
              <w:spacing w:line="480" w:lineRule="exact"/>
              <w:ind w:firstLine="480" w:firstLineChars="200"/>
              <w:rPr>
                <w:rFonts w:hint="default" w:ascii="Times New Roman" w:hAnsi="Times New Roman" w:cs="Times New Roman"/>
                <w:color w:val="auto"/>
              </w:rPr>
            </w:pPr>
            <w:r>
              <w:rPr>
                <w:rFonts w:hint="eastAsia" w:cs="Times New Roman"/>
                <w:color w:val="auto"/>
                <w:lang w:val="en-US" w:eastAsia="zh-CN"/>
              </w:rPr>
              <w:t>a、</w:t>
            </w:r>
            <w:r>
              <w:rPr>
                <w:rFonts w:hint="default" w:ascii="Times New Roman" w:hAnsi="Times New Roman" w:cs="Times New Roman"/>
                <w:color w:val="auto"/>
              </w:rPr>
              <w:t>在柴油储罐区设置明显的防火防爆标志，严禁在储罐区吸烟、动火等。配备足够的消防器材和设施，如灭火器，并定期进行检查和维护，确保其性能良好。采用防爆型电气设备和照明设施，防止电气火花引发火灾爆炸事故。对储罐区的电气线路进行定期检查和维护，避免因线路老化、短路等问题引发火灾。</w:t>
            </w:r>
          </w:p>
          <w:p>
            <w:pPr>
              <w:snapToGrid w:val="0"/>
              <w:spacing w:line="480" w:lineRule="exact"/>
              <w:ind w:firstLine="480" w:firstLineChars="200"/>
              <w:rPr>
                <w:rFonts w:hint="default" w:ascii="Times New Roman" w:hAnsi="Times New Roman" w:cs="Times New Roman"/>
                <w:color w:val="auto"/>
              </w:rPr>
            </w:pPr>
            <w:r>
              <w:rPr>
                <w:rFonts w:hint="eastAsia" w:cs="Times New Roman"/>
                <w:color w:val="auto"/>
                <w:lang w:val="en-US" w:eastAsia="zh-CN"/>
              </w:rPr>
              <w:t>b、</w:t>
            </w:r>
            <w:r>
              <w:rPr>
                <w:rFonts w:hint="default" w:ascii="Times New Roman" w:hAnsi="Times New Roman" w:cs="Times New Roman"/>
                <w:color w:val="auto"/>
              </w:rPr>
              <w:t>定期进行消防培训与实战演练，要求岗位工作人员具有较强的消防安全意识，加强巡检，确保无异常情况出现。</w:t>
            </w:r>
          </w:p>
          <w:p>
            <w:pPr>
              <w:snapToGrid w:val="0"/>
              <w:spacing w:line="480" w:lineRule="exact"/>
              <w:ind w:firstLine="480" w:firstLineChars="200"/>
              <w:rPr>
                <w:rFonts w:hint="default" w:cs="Times New Roman"/>
                <w:color w:val="auto"/>
                <w:lang w:val="en-US" w:eastAsia="zh-CN"/>
              </w:rPr>
            </w:pPr>
            <w:r>
              <w:rPr>
                <w:rFonts w:hint="eastAsia" w:cs="Times New Roman"/>
                <w:color w:val="auto"/>
                <w:lang w:val="en-US" w:eastAsia="zh-CN"/>
              </w:rPr>
              <w:t>⑥控制操作条件要求</w:t>
            </w:r>
          </w:p>
          <w:p>
            <w:pPr>
              <w:snapToGrid w:val="0"/>
              <w:spacing w:line="480" w:lineRule="exact"/>
              <w:ind w:firstLine="480" w:firstLineChars="200"/>
              <w:rPr>
                <w:rFonts w:hint="default" w:cs="Times New Roman"/>
                <w:color w:val="auto"/>
                <w:lang w:val="en-US" w:eastAsia="zh-CN"/>
              </w:rPr>
            </w:pPr>
            <w:r>
              <w:rPr>
                <w:rFonts w:hint="default" w:cs="Times New Roman"/>
                <w:color w:val="auto"/>
                <w:lang w:val="en-US" w:eastAsia="zh-CN"/>
              </w:rPr>
              <w:t>严格控制柴油储罐的温度、压力、液位等操作参数，避免超温、超压、超液位运行。设置温度、压力、液位等报警装置，当参数超出正常范围时及时报警并采取措施进行调整。在装卸柴油过程中，要严格按照操作规程进行，控制装卸速度，防止产生静电和泄漏。</w:t>
            </w:r>
          </w:p>
          <w:p>
            <w:pPr>
              <w:snapToGrid w:val="0"/>
              <w:spacing w:line="480" w:lineRule="exact"/>
              <w:ind w:firstLine="480" w:firstLineChars="200"/>
              <w:rPr>
                <w:rFonts w:hint="eastAsia" w:cs="Times New Roman"/>
                <w:color w:val="auto"/>
                <w:lang w:val="en-US" w:eastAsia="zh-CN"/>
              </w:rPr>
            </w:pPr>
            <w:r>
              <w:rPr>
                <w:rFonts w:hint="eastAsia" w:cs="Times New Roman"/>
                <w:color w:val="auto"/>
                <w:lang w:val="en-US" w:eastAsia="zh-CN"/>
              </w:rPr>
              <w:t>⑦柴油泄漏事故应急处置措施</w:t>
            </w:r>
          </w:p>
          <w:p>
            <w:pPr>
              <w:snapToGrid w:val="0"/>
              <w:spacing w:line="480" w:lineRule="exact"/>
              <w:ind w:firstLine="480" w:firstLineChars="200"/>
              <w:rPr>
                <w:rFonts w:hint="eastAsia" w:cs="Times New Roman"/>
                <w:color w:val="auto"/>
                <w:lang w:val="en-US" w:eastAsia="zh-CN"/>
              </w:rPr>
            </w:pPr>
            <w:r>
              <w:rPr>
                <w:rFonts w:hint="eastAsia" w:cs="Times New Roman"/>
                <w:color w:val="auto"/>
                <w:lang w:val="en-US" w:eastAsia="zh-CN"/>
              </w:rPr>
              <w:t>发生柴油泄漏事故时，根据泄漏情形采取应急处置措施，如关闭阀门、封堵泄漏点等措施；若罐体破裂，无法封堵，则利用围堰拦截泄漏油品，及时采取油品回收措施；发生火灾、爆炸事故时，应及时疏散人员，根据现场指挥确定紧急集合点（一般选择事故发生时的上风向）。</w:t>
            </w:r>
          </w:p>
          <w:p>
            <w:pPr>
              <w:snapToGrid w:val="0"/>
              <w:spacing w:line="480" w:lineRule="exact"/>
              <w:ind w:firstLine="480" w:firstLineChars="200"/>
              <w:rPr>
                <w:rFonts w:hint="eastAsia" w:cs="Times New Roman"/>
                <w:color w:val="auto"/>
                <w:lang w:val="en-US" w:eastAsia="zh-CN"/>
              </w:rPr>
            </w:pPr>
            <w:bookmarkStart w:id="140" w:name="OLE_LINK62"/>
            <w:r>
              <w:rPr>
                <w:rFonts w:hint="eastAsia" w:cs="Times New Roman"/>
                <w:color w:val="auto"/>
                <w:lang w:val="en-US" w:eastAsia="zh-CN"/>
              </w:rPr>
              <w:t>⑧储罐泄漏检测周期要求</w:t>
            </w:r>
          </w:p>
          <w:bookmarkEnd w:id="140"/>
          <w:p>
            <w:pPr>
              <w:snapToGrid w:val="0"/>
              <w:spacing w:line="480" w:lineRule="exact"/>
              <w:ind w:firstLine="480" w:firstLineChars="200"/>
              <w:rPr>
                <w:rFonts w:hint="default" w:ascii="Times New Roman" w:hAnsi="Times New Roman" w:cs="Times New Roman"/>
                <w:color w:val="auto"/>
                <w:lang w:val="en-US"/>
              </w:rPr>
            </w:pPr>
            <w:r>
              <w:rPr>
                <w:rFonts w:hint="eastAsia" w:cs="Times New Roman"/>
                <w:color w:val="auto"/>
                <w:lang w:val="en-US" w:eastAsia="zh-CN"/>
              </w:rPr>
              <w:t>储罐外部检验每年至少一次，内外部检验每3年至少一次，全面检验每6年至少一次，储罐的使用期已达15年，应每两年进行一次内外部检验，使用期已达20年，应每年至少一次内外部检验。此外，例行检查周期应根据储罐结构、储存介质、环境特点决定，最长不超过1个月。</w:t>
            </w:r>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（4）井漏防范措施</w:t>
            </w:r>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①建立、健全各项安全管理制度以及配套的工艺、设备安全操作规程并严格执行，确保施工质量，防漏、防窜，做好防腐工作。</w:t>
            </w:r>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②操作人员应密切注意设备运行状况，发现管件破裂刺漏等问题及时处理；作业现场应配备消防设备以备应急救援。</w:t>
            </w:r>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③严格要求套管下入深度、确保固井质量。</w:t>
            </w:r>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④工程施工单位</w:t>
            </w:r>
            <w:r>
              <w:rPr>
                <w:rFonts w:hint="eastAsia" w:cs="Times New Roman"/>
                <w:color w:val="auto"/>
                <w:lang w:eastAsia="zh-CN"/>
              </w:rPr>
              <w:t>须具备</w:t>
            </w:r>
            <w:r>
              <w:rPr>
                <w:rFonts w:hint="default" w:ascii="Times New Roman" w:hAnsi="Times New Roman" w:cs="Times New Roman"/>
                <w:color w:val="auto"/>
              </w:rPr>
              <w:t>相应资质，加强对施工现场的安全组织管理和监督。</w:t>
            </w:r>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（5）硫化氢防范措施</w:t>
            </w:r>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①在</w:t>
            </w:r>
            <w:r>
              <w:rPr>
                <w:rFonts w:hint="default" w:ascii="Times New Roman" w:hAnsi="Times New Roman" w:cs="Times New Roman"/>
                <w:color w:val="auto"/>
                <w:lang w:val="en-US" w:eastAsia="zh-CN"/>
              </w:rPr>
              <w:t>项目施工</w:t>
            </w:r>
            <w:r>
              <w:rPr>
                <w:rFonts w:hint="default" w:ascii="Times New Roman" w:hAnsi="Times New Roman" w:cs="Times New Roman"/>
                <w:color w:val="auto"/>
              </w:rPr>
              <w:t>过程中配备便携式硫化氢监测仪，做好硫化氢监测预警工作，并制定防硫化氢应急预案。当监测到硫化氢浓度大于75mg/m</w:t>
            </w:r>
            <w:r>
              <w:rPr>
                <w:rFonts w:hint="default" w:ascii="Times New Roman" w:hAnsi="Times New Roman" w:cs="Times New Roman"/>
                <w:color w:val="auto"/>
                <w:vertAlign w:val="superscript"/>
              </w:rPr>
              <w:t>3</w:t>
            </w:r>
            <w:r>
              <w:rPr>
                <w:rFonts w:hint="default" w:ascii="Times New Roman" w:hAnsi="Times New Roman" w:cs="Times New Roman"/>
                <w:color w:val="auto"/>
              </w:rPr>
              <w:t>（50ppm）时，按照含硫油气井作业规程执行。</w:t>
            </w:r>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rPr>
              <w:t>②钻井期在作业现场显著位置设置5处风向标；试油期设置2处风向标，并在不同方向上划定2个紧急集合点，并规划撤离路线，发生紧急情况时向上风向撤离。</w:t>
            </w:r>
          </w:p>
          <w:p>
            <w:pPr>
              <w:pStyle w:val="10"/>
              <w:bidi w:val="0"/>
              <w:rPr>
                <w:rFonts w:hint="default"/>
                <w:color w:val="auto"/>
              </w:rPr>
            </w:pPr>
            <w:r>
              <w:rPr>
                <w:rFonts w:hint="default"/>
                <w:color w:val="auto"/>
              </w:rPr>
              <w:t>（6）物料运输环境风险防范措施</w:t>
            </w:r>
          </w:p>
          <w:p>
            <w:pPr>
              <w:pStyle w:val="10"/>
              <w:bidi w:val="0"/>
              <w:rPr>
                <w:rFonts w:hint="default"/>
                <w:color w:val="auto"/>
              </w:rPr>
            </w:pPr>
            <w:r>
              <w:rPr>
                <w:rFonts w:hint="default"/>
                <w:color w:val="auto"/>
              </w:rPr>
              <w:t>加强各类储罐运输环节的管理，避免出现储罐泄漏风险事故发生。危险废物在储存、转移、处理过程中应严格执行《危险废物转移管理办法》（部令第23号）并制定内部转移、转运制度。确保危险废物的运输安全可靠，减少或避免运输过程中的二次污染和可能造成的环境风险。</w:t>
            </w:r>
          </w:p>
          <w:p>
            <w:pPr>
              <w:pStyle w:val="10"/>
              <w:bidi w:val="0"/>
              <w:rPr>
                <w:rFonts w:hint="default"/>
                <w:color w:val="auto"/>
              </w:rPr>
            </w:pPr>
            <w:r>
              <w:rPr>
                <w:rFonts w:hint="default"/>
                <w:color w:val="auto"/>
              </w:rPr>
              <w:t>（</w:t>
            </w:r>
            <w:r>
              <w:rPr>
                <w:rFonts w:hint="default"/>
                <w:color w:val="auto"/>
                <w:lang w:val="en-US" w:eastAsia="zh-CN"/>
              </w:rPr>
              <w:t>7</w:t>
            </w:r>
            <w:r>
              <w:rPr>
                <w:rFonts w:hint="default"/>
                <w:color w:val="auto"/>
              </w:rPr>
              <w:t>）油基岩屑环境风险防范措施</w:t>
            </w:r>
          </w:p>
          <w:p>
            <w:pPr>
              <w:pStyle w:val="10"/>
              <w:bidi w:val="0"/>
              <w:rPr>
                <w:rFonts w:hint="default"/>
                <w:color w:val="auto"/>
              </w:rPr>
            </w:pPr>
            <w:r>
              <w:rPr>
                <w:rFonts w:hint="default"/>
                <w:color w:val="auto"/>
              </w:rPr>
              <w:t>存放油基钻井液、油基岩屑作业区域及方罐储存区下部铺防渗膜，四周设置围堰，顶部应满足防风、防晒、防雨的要求。油基岩屑需使用专用收集罐收集后交资质单位处理，其收集、贮存应符合《陆上石油天然气开采含油污泥处理处置及污染控制技术规范》（SY/T7300-2016）、《危险废物贮存污染控制标准》（GB18597-2023）相关规定要求，运输过程中应依据《危险废物收集贮存运输技术规范（HJ2025-2012）》的要求进行管理；转移过程应按《危险废物转移管理办法》办理危险废物转移联单。</w:t>
            </w:r>
          </w:p>
          <w:p>
            <w:pPr>
              <w:pStyle w:val="10"/>
              <w:bidi w:val="0"/>
              <w:rPr>
                <w:rFonts w:hint="default"/>
                <w:color w:val="auto"/>
                <w:lang w:val="en-US" w:eastAsia="zh-CN"/>
              </w:rPr>
            </w:pPr>
            <w:r>
              <w:rPr>
                <w:rFonts w:hint="eastAsia"/>
                <w:color w:val="auto"/>
                <w:lang w:eastAsia="zh-CN"/>
              </w:rPr>
              <w:t>（</w:t>
            </w:r>
            <w:r>
              <w:rPr>
                <w:rFonts w:hint="eastAsia"/>
                <w:color w:val="auto"/>
                <w:lang w:val="en-US" w:eastAsia="zh-CN"/>
              </w:rPr>
              <w:t>8</w:t>
            </w:r>
            <w:r>
              <w:rPr>
                <w:rFonts w:hint="eastAsia"/>
                <w:color w:val="auto"/>
                <w:lang w:eastAsia="zh-CN"/>
              </w:rPr>
              <w:t>）</w:t>
            </w:r>
            <w:r>
              <w:rPr>
                <w:rFonts w:hint="eastAsia"/>
                <w:color w:val="auto"/>
                <w:lang w:val="en-US" w:eastAsia="zh-CN"/>
              </w:rPr>
              <w:t>危险废物贮存点环境风险防范措施</w:t>
            </w:r>
          </w:p>
          <w:p>
            <w:pPr>
              <w:pStyle w:val="10"/>
              <w:bidi w:val="0"/>
              <w:rPr>
                <w:rFonts w:hint="default"/>
                <w:color w:val="auto"/>
                <w:lang w:val="en-US" w:eastAsia="zh-CN"/>
              </w:rPr>
            </w:pPr>
            <w:r>
              <w:rPr>
                <w:rFonts w:hint="default"/>
                <w:color w:val="auto"/>
              </w:rPr>
              <w:t>①</w:t>
            </w:r>
            <w:r>
              <w:rPr>
                <w:rFonts w:hint="eastAsia"/>
                <w:color w:val="auto"/>
                <w:lang w:val="en-US" w:eastAsia="zh-CN"/>
              </w:rPr>
              <w:t>危险废物贮存要求</w:t>
            </w:r>
          </w:p>
          <w:p>
            <w:pPr>
              <w:pStyle w:val="10"/>
              <w:bidi w:val="0"/>
              <w:rPr>
                <w:rFonts w:hint="default"/>
                <w:color w:val="auto"/>
              </w:rPr>
            </w:pPr>
            <w:r>
              <w:rPr>
                <w:rFonts w:hint="eastAsia"/>
                <w:color w:val="auto"/>
                <w:lang w:val="en-US" w:eastAsia="zh-CN"/>
              </w:rPr>
              <w:t>危险废物贮存点应</w:t>
            </w:r>
            <w:r>
              <w:rPr>
                <w:rFonts w:hint="default"/>
                <w:color w:val="auto"/>
              </w:rPr>
              <w:t>采取必要的防晒、防雨、防漏、防渗、防腐以及其他环境污染防治措施，不应露天堆放危险废物。贮存设施应根据危险废物的类别、数量、形态、物理化学性质和污染防治等要求设置必要的贮存分区，避免不相容的危险废物接触、混合。贮存设施地面应采取表面防渗措施；表面防渗材料应与所接触的物料或污染物相容，可采用高密度聚乙烯膜或其他防渗性能等效的材料。</w:t>
            </w:r>
          </w:p>
          <w:p>
            <w:pPr>
              <w:pStyle w:val="10"/>
              <w:bidi w:val="0"/>
              <w:rPr>
                <w:rFonts w:hint="default"/>
                <w:color w:val="auto"/>
                <w:lang w:val="en-US" w:eastAsia="zh-CN"/>
              </w:rPr>
            </w:pPr>
            <w:r>
              <w:rPr>
                <w:rFonts w:hint="eastAsia"/>
                <w:color w:val="auto"/>
                <w:lang w:val="en-US" w:eastAsia="zh-CN"/>
              </w:rPr>
              <w:t>②危险废物贮存点运行管理要求</w:t>
            </w:r>
          </w:p>
          <w:p>
            <w:pPr>
              <w:pStyle w:val="10"/>
              <w:bidi w:val="0"/>
              <w:rPr>
                <w:rFonts w:hint="default"/>
                <w:color w:val="auto"/>
                <w:lang w:val="en-US" w:eastAsia="zh-CN"/>
              </w:rPr>
            </w:pPr>
            <w:r>
              <w:rPr>
                <w:rFonts w:hint="eastAsia"/>
                <w:color w:val="auto"/>
                <w:lang w:val="en-US" w:eastAsia="zh-CN"/>
              </w:rPr>
              <w:t>应定期检查危险废物的贮存状况，及时清理贮存设施地面，更换破损泄漏的危险废物贮存容器，保证堆存危险废物的防雨、防风、防扬尘等设施功能完好。贮存场所内设置危险废物识别标志；设立危险废物管理台账；制定危险废物管理计划并报所在地生态环境主管部门备案；</w:t>
            </w:r>
            <w:r>
              <w:rPr>
                <w:rFonts w:hint="default"/>
                <w:color w:val="auto"/>
              </w:rPr>
              <w:t>贮存点应及时清运贮存的危险废物，实时贮存量不应超过3t。</w:t>
            </w:r>
          </w:p>
          <w:p>
            <w:pPr>
              <w:pStyle w:val="10"/>
              <w:bidi w:val="0"/>
              <w:rPr>
                <w:rFonts w:hint="default"/>
                <w:color w:val="auto"/>
                <w:lang w:val="en-US" w:eastAsia="zh-CN"/>
              </w:rPr>
            </w:pPr>
            <w:r>
              <w:rPr>
                <w:rFonts w:hint="eastAsia"/>
                <w:color w:val="auto"/>
                <w:lang w:val="en-US" w:eastAsia="zh-CN"/>
              </w:rPr>
              <w:t>③危险废物转移管理要求</w:t>
            </w:r>
          </w:p>
          <w:p>
            <w:pPr>
              <w:pStyle w:val="10"/>
              <w:bidi w:val="0"/>
              <w:rPr>
                <w:rFonts w:hint="default"/>
                <w:color w:val="auto"/>
              </w:rPr>
            </w:pPr>
            <w:r>
              <w:rPr>
                <w:rFonts w:hint="eastAsia"/>
                <w:color w:val="auto"/>
                <w:lang w:val="en-US" w:eastAsia="zh-CN"/>
              </w:rPr>
              <w:t>各类危险废物定期由依法签订书面合同具有相应危险废物处置资质的单位（受托方）进行接收、转运和处置。严格</w:t>
            </w:r>
            <w:r>
              <w:rPr>
                <w:rFonts w:hint="default"/>
                <w:color w:val="auto"/>
              </w:rPr>
              <w:t>落实危险废物转移联单制度，转移危险废物的，应当按照《危险废物转移管理办法》的有关规定填写、运行危险废物转移联单。</w:t>
            </w:r>
          </w:p>
          <w:p>
            <w:pPr>
              <w:pStyle w:val="10"/>
              <w:bidi w:val="0"/>
              <w:rPr>
                <w:rFonts w:hint="default"/>
                <w:color w:val="auto"/>
              </w:rPr>
            </w:pPr>
            <w:r>
              <w:rPr>
                <w:rFonts w:hint="default"/>
                <w:color w:val="auto"/>
              </w:rPr>
              <w:t>（</w:t>
            </w:r>
            <w:r>
              <w:rPr>
                <w:rFonts w:hint="eastAsia"/>
                <w:color w:val="auto"/>
                <w:lang w:val="en-US" w:eastAsia="zh-CN"/>
              </w:rPr>
              <w:t>9</w:t>
            </w:r>
            <w:r>
              <w:rPr>
                <w:rFonts w:hint="default"/>
                <w:color w:val="auto"/>
              </w:rPr>
              <w:t>）环境风险应急预案</w:t>
            </w:r>
          </w:p>
          <w:p>
            <w:pPr>
              <w:pStyle w:val="10"/>
              <w:bidi w:val="0"/>
              <w:rPr>
                <w:rFonts w:hint="default"/>
                <w:color w:val="auto"/>
              </w:rPr>
            </w:pPr>
            <w:r>
              <w:rPr>
                <w:rFonts w:hint="default"/>
                <w:color w:val="auto"/>
              </w:rPr>
              <w:t>建设单位应按国家相关规定编制突发环境事件应急预案，报所在地生态环境主管部门备案。应急预案包含井喷应急预案等，井场配备相应应急物资，如防毒面具、防护服、井控设备（见表2-4）、急救箱、消防砂、消防锹、手提灭火器等。定期进行演练，作业班组每月应举行不少于1次不同工况下的应急预案演练。</w:t>
            </w:r>
          </w:p>
          <w:p>
            <w:pPr>
              <w:pStyle w:val="10"/>
              <w:bidi w:val="0"/>
              <w:rPr>
                <w:rFonts w:hint="default"/>
                <w:color w:val="auto"/>
              </w:rPr>
            </w:pPr>
            <w:r>
              <w:rPr>
                <w:rFonts w:hint="default"/>
                <w:color w:val="auto"/>
              </w:rPr>
              <w:t>（</w:t>
            </w:r>
            <w:r>
              <w:rPr>
                <w:rFonts w:hint="eastAsia"/>
                <w:color w:val="auto"/>
                <w:lang w:val="en-US" w:eastAsia="zh-CN"/>
              </w:rPr>
              <w:t>10</w:t>
            </w:r>
            <w:r>
              <w:rPr>
                <w:rFonts w:hint="default"/>
                <w:color w:val="auto"/>
              </w:rPr>
              <w:t>）结论</w:t>
            </w:r>
          </w:p>
          <w:p>
            <w:pPr>
              <w:pStyle w:val="10"/>
              <w:bidi w:val="0"/>
              <w:rPr>
                <w:rFonts w:hint="eastAsia"/>
                <w:color w:val="auto"/>
                <w:lang w:val="en-US" w:eastAsia="zh-CN"/>
              </w:rPr>
            </w:pPr>
            <w:r>
              <w:rPr>
                <w:rFonts w:hint="default"/>
                <w:color w:val="auto"/>
              </w:rPr>
              <w:t>施工期发生风险事故的概率较小，且制定了较为周全的风险事故防范措施和事故应急预案，当发生风险事故时立即启动事故应急预案，确保事故不扩大，避免对周边环境造成较大危害。在采取严格的安全防护和风险防范措施后，环境风险可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66" w:hRule="atLeast"/>
        </w:trPr>
        <w:tc>
          <w:tcPr>
            <w:tcW w:w="261" w:type="pc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rPr>
            </w:pPr>
            <w:r>
              <w:rPr>
                <w:rFonts w:hint="default" w:ascii="Times New Roman" w:hAnsi="Times New Roman" w:cs="Times New Roman"/>
                <w:bCs/>
                <w:color w:val="auto"/>
                <w:spacing w:val="10"/>
              </w:rPr>
              <w:t>运营期生态环境保护措施</w:t>
            </w:r>
          </w:p>
        </w:tc>
        <w:tc>
          <w:tcPr>
            <w:tcW w:w="5000" w:type="pct"/>
            <w:vAlign w:val="center"/>
          </w:tcPr>
          <w:p>
            <w:pPr>
              <w:pStyle w:val="64"/>
              <w:adjustRightInd w:val="0"/>
              <w:snapToGrid w:val="0"/>
              <w:spacing w:line="480" w:lineRule="exact"/>
              <w:ind w:firstLine="460"/>
              <w:rPr>
                <w:rFonts w:hint="eastAsia"/>
                <w:color w:val="auto"/>
                <w:lang w:eastAsia="zh-CN"/>
              </w:rPr>
            </w:pPr>
            <w:r>
              <w:rPr>
                <w:rFonts w:hint="default"/>
                <w:color w:val="auto"/>
              </w:rPr>
              <w:t>根据</w:t>
            </w:r>
            <w:r>
              <w:rPr>
                <w:rFonts w:hint="eastAsia"/>
                <w:color w:val="auto"/>
                <w:lang w:val="en-US" w:eastAsia="zh-CN"/>
              </w:rPr>
              <w:t>试油</w:t>
            </w:r>
            <w:r>
              <w:rPr>
                <w:rFonts w:hint="default"/>
                <w:color w:val="auto"/>
              </w:rPr>
              <w:t>结果决定</w:t>
            </w:r>
            <w:r>
              <w:rPr>
                <w:rFonts w:hint="eastAsia"/>
                <w:color w:val="auto"/>
                <w:lang w:val="en-US" w:eastAsia="zh-CN"/>
              </w:rPr>
              <w:t>莫24H井</w:t>
            </w:r>
            <w:r>
              <w:rPr>
                <w:rFonts w:hint="default"/>
                <w:color w:val="auto"/>
              </w:rPr>
              <w:t>是否转为生产井，若可转为生产井，则应当在产能开发建设前对其开展环境影响评价工作，编制环境影响评价文件；若不具备转产条件，则应根据</w:t>
            </w:r>
            <w:bookmarkStart w:id="141" w:name="OLE_LINK15"/>
            <w:r>
              <w:rPr>
                <w:rFonts w:hint="default"/>
                <w:color w:val="auto"/>
              </w:rPr>
              <w:t>《废弃井封井回填技术指南（试行）》</w:t>
            </w:r>
            <w:bookmarkStart w:id="142" w:name="OLE_LINK124"/>
            <w:r>
              <w:rPr>
                <w:rFonts w:hint="default"/>
                <w:color w:val="auto"/>
              </w:rPr>
              <w:t>《废弃井及长停井处置指南》（SY/T6646-2017）</w:t>
            </w:r>
            <w:bookmarkEnd w:id="142"/>
            <w:bookmarkStart w:id="143" w:name="OLE_LINK123"/>
            <w:r>
              <w:rPr>
                <w:rFonts w:hint="default"/>
                <w:color w:val="auto"/>
              </w:rPr>
              <w:t>、《陆上石油天然气生产环境保护推荐作法》（SY/T6628-2005）</w:t>
            </w:r>
            <w:bookmarkEnd w:id="141"/>
            <w:bookmarkEnd w:id="143"/>
            <w:r>
              <w:rPr>
                <w:rFonts w:hint="default"/>
                <w:color w:val="auto"/>
              </w:rPr>
              <w:t>、《矿</w:t>
            </w:r>
            <w:bookmarkStart w:id="144" w:name="OLE_LINK10"/>
            <w:r>
              <w:rPr>
                <w:rFonts w:hint="default"/>
                <w:color w:val="auto"/>
              </w:rPr>
              <w:t>山生态环境保护与恢复治</w:t>
            </w:r>
            <w:bookmarkEnd w:id="144"/>
            <w:r>
              <w:rPr>
                <w:rFonts w:hint="default"/>
                <w:color w:val="auto"/>
              </w:rPr>
              <w:t>理技术规范（试行）》（HJ651-2013）和中国石油天然气股份有限公司</w:t>
            </w:r>
            <w:r>
              <w:rPr>
                <w:rFonts w:hint="eastAsia"/>
                <w:color w:val="auto"/>
                <w:lang w:val="en-US" w:eastAsia="zh-CN"/>
              </w:rPr>
              <w:t>大港油田分公司</w:t>
            </w:r>
            <w:r>
              <w:rPr>
                <w:rFonts w:hint="default"/>
                <w:color w:val="auto"/>
              </w:rPr>
              <w:t>的</w:t>
            </w:r>
            <w:bookmarkStart w:id="145" w:name="OLE_LINK131"/>
            <w:r>
              <w:rPr>
                <w:rFonts w:hint="default"/>
                <w:color w:val="auto"/>
              </w:rPr>
              <w:t>相关要求对新钻井进行封堵，并拆除相关设施，</w:t>
            </w:r>
            <w:r>
              <w:rPr>
                <w:rFonts w:hint="eastAsia"/>
                <w:color w:val="auto"/>
                <w:lang w:eastAsia="zh-CN"/>
              </w:rPr>
              <w:t>确保</w:t>
            </w:r>
            <w:r>
              <w:rPr>
                <w:rFonts w:hint="default"/>
                <w:color w:val="auto"/>
              </w:rPr>
              <w:t>土壤及地下水环境污染遗留问题、废弃物均得到妥善处置，</w:t>
            </w:r>
            <w:r>
              <w:rPr>
                <w:rFonts w:hint="eastAsia"/>
                <w:color w:val="auto"/>
                <w:lang w:val="en-US" w:eastAsia="zh-CN"/>
              </w:rPr>
              <w:t>并</w:t>
            </w:r>
            <w:r>
              <w:rPr>
                <w:rFonts w:hint="default"/>
                <w:color w:val="auto"/>
              </w:rPr>
              <w:t>制定</w:t>
            </w:r>
            <w:r>
              <w:rPr>
                <w:rFonts w:hint="eastAsia"/>
                <w:color w:val="auto"/>
                <w:lang w:val="en-US" w:eastAsia="zh-CN"/>
              </w:rPr>
              <w:t>和实施</w:t>
            </w:r>
            <w:r>
              <w:rPr>
                <w:rFonts w:hint="default"/>
                <w:color w:val="auto"/>
              </w:rPr>
              <w:t>生态恢复方案</w:t>
            </w:r>
            <w:bookmarkEnd w:id="145"/>
            <w:r>
              <w:rPr>
                <w:rFonts w:hint="eastAsia"/>
                <w:color w:val="auto"/>
                <w:lang w:eastAsia="zh-CN"/>
              </w:rPr>
              <w:t>：</w:t>
            </w:r>
          </w:p>
          <w:p>
            <w:pPr>
              <w:pStyle w:val="54"/>
              <w:numPr>
                <w:ilvl w:val="0"/>
                <w:numId w:val="20"/>
              </w:numPr>
              <w:bidi w:val="0"/>
              <w:ind w:left="9" w:leftChars="0" w:firstLineChars="0"/>
              <w:rPr>
                <w:rFonts w:hint="eastAsia"/>
                <w:color w:val="auto"/>
                <w:lang w:val="en-US" w:eastAsia="zh-CN"/>
              </w:rPr>
            </w:pPr>
            <w:r>
              <w:rPr>
                <w:rFonts w:hint="eastAsia"/>
                <w:color w:val="auto"/>
                <w:lang w:val="en-US" w:eastAsia="zh-CN"/>
              </w:rPr>
              <w:t>生态恢复方案</w:t>
            </w:r>
          </w:p>
          <w:p>
            <w:pPr>
              <w:keepNext w:val="0"/>
              <w:keepLines w:val="0"/>
              <w:pageBreakBefore w:val="0"/>
              <w:kinsoku/>
              <w:wordWrap w:val="0"/>
              <w:overflowPunct/>
              <w:topLinePunct/>
              <w:autoSpaceDE w:val="0"/>
              <w:autoSpaceDN w:val="0"/>
              <w:bidi w:val="0"/>
              <w:adjustRightInd/>
              <w:snapToGrid w:val="0"/>
              <w:spacing w:line="500" w:lineRule="exact"/>
              <w:ind w:firstLine="480" w:firstLineChars="200"/>
              <w:textAlignment w:val="center"/>
              <w:rPr>
                <w:rFonts w:hint="eastAsia"/>
                <w:bCs/>
                <w:color w:val="auto"/>
                <w:highlight w:val="none"/>
                <w:lang w:val="en-US" w:eastAsia="zh-CN"/>
              </w:rPr>
            </w:pPr>
            <w:r>
              <w:rPr>
                <w:rFonts w:hint="eastAsia"/>
                <w:bCs/>
                <w:color w:val="auto"/>
                <w:highlight w:val="none"/>
                <w:lang w:val="en-US" w:eastAsia="zh-CN"/>
              </w:rPr>
              <w:t>（</w:t>
            </w:r>
            <w:r>
              <w:rPr>
                <w:rFonts w:hint="eastAsia" w:ascii="Times New Roman" w:eastAsia="宋体"/>
                <w:bCs/>
                <w:color w:val="auto"/>
                <w:highlight w:val="none"/>
                <w:lang w:val="en-US" w:eastAsia="zh-CN"/>
              </w:rPr>
              <w:t>1</w:t>
            </w:r>
            <w:r>
              <w:rPr>
                <w:rFonts w:hint="eastAsia"/>
                <w:bCs/>
                <w:color w:val="auto"/>
                <w:highlight w:val="none"/>
                <w:lang w:val="en-US" w:eastAsia="zh-CN"/>
              </w:rPr>
              <w:t>）</w:t>
            </w:r>
            <w:r>
              <w:rPr>
                <w:rFonts w:hint="eastAsia" w:ascii="Times New Roman" w:eastAsia="宋体"/>
                <w:bCs/>
                <w:color w:val="auto"/>
                <w:highlight w:val="none"/>
                <w:lang w:val="en-US" w:eastAsia="zh-CN"/>
              </w:rPr>
              <w:t>井场、生活营地生态恢复措施</w:t>
            </w:r>
          </w:p>
          <w:p>
            <w:pPr>
              <w:keepNext w:val="0"/>
              <w:keepLines w:val="0"/>
              <w:pageBreakBefore w:val="0"/>
              <w:kinsoku/>
              <w:wordWrap w:val="0"/>
              <w:overflowPunct/>
              <w:topLinePunct/>
              <w:autoSpaceDE w:val="0"/>
              <w:autoSpaceDN w:val="0"/>
              <w:bidi w:val="0"/>
              <w:adjustRightInd/>
              <w:snapToGrid w:val="0"/>
              <w:spacing w:line="500" w:lineRule="exact"/>
              <w:ind w:firstLine="480" w:firstLineChars="200"/>
              <w:textAlignment w:val="center"/>
              <w:rPr>
                <w:rFonts w:hint="eastAsia"/>
                <w:bCs/>
                <w:color w:val="auto"/>
                <w:highlight w:val="none"/>
                <w:lang w:val="en-US" w:eastAsia="zh-CN"/>
              </w:rPr>
            </w:pPr>
            <w:r>
              <w:rPr>
                <w:rFonts w:hint="eastAsia" w:ascii="Times New Roman" w:eastAsia="宋体"/>
                <w:bCs/>
                <w:color w:val="auto"/>
                <w:highlight w:val="none"/>
                <w:lang w:val="en-US" w:eastAsia="zh-CN"/>
              </w:rPr>
              <w:t>根据《陆上石油天然气开采业绿色矿山建设规范》</w:t>
            </w:r>
            <w:r>
              <w:rPr>
                <w:rFonts w:hint="eastAsia"/>
                <w:bCs/>
                <w:color w:val="auto"/>
                <w:highlight w:val="none"/>
                <w:lang w:val="en-US" w:eastAsia="zh-CN"/>
              </w:rPr>
              <w:t>（</w:t>
            </w:r>
            <w:r>
              <w:rPr>
                <w:rFonts w:hint="eastAsia" w:ascii="Times New Roman" w:eastAsia="宋体"/>
                <w:bCs/>
                <w:color w:val="auto"/>
                <w:highlight w:val="none"/>
                <w:lang w:val="en-US" w:eastAsia="zh-CN"/>
              </w:rPr>
              <w:t>DZ/T0317-2018</w:t>
            </w:r>
            <w:r>
              <w:rPr>
                <w:rFonts w:hint="eastAsia"/>
                <w:bCs/>
                <w:color w:val="auto"/>
                <w:highlight w:val="none"/>
                <w:lang w:val="en-US" w:eastAsia="zh-CN"/>
              </w:rPr>
              <w:t>）</w:t>
            </w:r>
            <w:r>
              <w:rPr>
                <w:rFonts w:hint="eastAsia" w:ascii="Times New Roman" w:eastAsia="宋体"/>
                <w:bCs/>
                <w:color w:val="auto"/>
                <w:highlight w:val="none"/>
                <w:lang w:val="en-US" w:eastAsia="zh-CN"/>
              </w:rPr>
              <w:t>所有施工范围需进行生态环境保护与恢复治理，工程施工结束后，应对井场临时占地内的土地进行平整，恢复原有地貌。充分利用前期已收集的表土覆盖于井场表层，覆盖厚度根据植被类型和场地用途确定。减少植被破坏，减缓水土流失，抵制沙化发展将起到一定的积极作用。</w:t>
            </w:r>
          </w:p>
          <w:p>
            <w:pPr>
              <w:keepNext w:val="0"/>
              <w:keepLines w:val="0"/>
              <w:pageBreakBefore w:val="0"/>
              <w:kinsoku/>
              <w:wordWrap w:val="0"/>
              <w:overflowPunct/>
              <w:topLinePunct/>
              <w:autoSpaceDE w:val="0"/>
              <w:autoSpaceDN w:val="0"/>
              <w:bidi w:val="0"/>
              <w:adjustRightInd/>
              <w:snapToGrid w:val="0"/>
              <w:spacing w:line="500" w:lineRule="exact"/>
              <w:ind w:firstLine="480" w:firstLineChars="200"/>
              <w:textAlignment w:val="center"/>
              <w:rPr>
                <w:rFonts w:hint="eastAsia"/>
                <w:bCs/>
                <w:color w:val="auto"/>
                <w:highlight w:val="none"/>
                <w:lang w:val="en-US" w:eastAsia="zh-CN"/>
              </w:rPr>
            </w:pPr>
            <w:r>
              <w:rPr>
                <w:rFonts w:hint="eastAsia"/>
                <w:bCs/>
                <w:color w:val="auto"/>
                <w:highlight w:val="none"/>
                <w:lang w:val="en-US" w:eastAsia="zh-CN"/>
              </w:rPr>
              <w:t>（</w:t>
            </w:r>
            <w:r>
              <w:rPr>
                <w:rFonts w:hint="eastAsia" w:ascii="Times New Roman" w:eastAsia="宋体"/>
                <w:bCs/>
                <w:color w:val="auto"/>
                <w:highlight w:val="none"/>
                <w:lang w:val="en-US" w:eastAsia="zh-CN"/>
              </w:rPr>
              <w:t>2</w:t>
            </w:r>
            <w:r>
              <w:rPr>
                <w:rFonts w:hint="eastAsia"/>
                <w:bCs/>
                <w:color w:val="auto"/>
                <w:highlight w:val="none"/>
                <w:lang w:val="en-US" w:eastAsia="zh-CN"/>
              </w:rPr>
              <w:t>）</w:t>
            </w:r>
            <w:r>
              <w:rPr>
                <w:rFonts w:hint="eastAsia" w:ascii="Times New Roman" w:eastAsia="宋体"/>
                <w:bCs/>
                <w:color w:val="auto"/>
                <w:highlight w:val="none"/>
                <w:lang w:val="en-US" w:eastAsia="zh-CN"/>
              </w:rPr>
              <w:t>井口、临时道路生态恢复措施</w:t>
            </w:r>
          </w:p>
          <w:p>
            <w:pPr>
              <w:keepNext w:val="0"/>
              <w:keepLines w:val="0"/>
              <w:pageBreakBefore w:val="0"/>
              <w:kinsoku/>
              <w:wordWrap w:val="0"/>
              <w:overflowPunct/>
              <w:topLinePunct/>
              <w:autoSpaceDE w:val="0"/>
              <w:autoSpaceDN w:val="0"/>
              <w:bidi w:val="0"/>
              <w:adjustRightInd/>
              <w:snapToGrid w:val="0"/>
              <w:spacing w:line="500" w:lineRule="exact"/>
              <w:ind w:firstLine="480" w:firstLineChars="200"/>
              <w:textAlignment w:val="center"/>
              <w:rPr>
                <w:rFonts w:hint="eastAsia"/>
                <w:bCs/>
                <w:color w:val="auto"/>
                <w:highlight w:val="none"/>
                <w:lang w:val="en-US" w:eastAsia="zh-CN"/>
              </w:rPr>
            </w:pPr>
            <w:r>
              <w:rPr>
                <w:rFonts w:hint="eastAsia" w:ascii="Times New Roman" w:eastAsia="宋体"/>
                <w:bCs/>
                <w:color w:val="auto"/>
                <w:highlight w:val="none"/>
                <w:lang w:val="en-US" w:eastAsia="zh-CN"/>
              </w:rPr>
              <w:t>试油结束后视试油结果决定是否转为生产井，若转为生产井，则应当在产能开发建设前开展其环境影响评价工作，</w:t>
            </w:r>
            <w:r>
              <w:rPr>
                <w:rFonts w:hint="eastAsia"/>
                <w:bCs/>
                <w:color w:val="auto"/>
                <w:highlight w:val="none"/>
                <w:lang w:val="en-US" w:eastAsia="zh-CN"/>
              </w:rPr>
              <w:t>井口</w:t>
            </w:r>
            <w:r>
              <w:rPr>
                <w:rFonts w:hint="eastAsia" w:ascii="Times New Roman" w:eastAsia="宋体"/>
                <w:bCs/>
                <w:color w:val="auto"/>
                <w:highlight w:val="none"/>
                <w:lang w:val="en-US" w:eastAsia="zh-CN"/>
              </w:rPr>
              <w:t>安装采油树，临时道路保留</w:t>
            </w:r>
            <w:r>
              <w:rPr>
                <w:rFonts w:hint="eastAsia"/>
                <w:bCs/>
                <w:color w:val="auto"/>
                <w:highlight w:val="none"/>
                <w:lang w:val="en-US" w:eastAsia="zh-CN"/>
              </w:rPr>
              <w:t>；</w:t>
            </w:r>
            <w:r>
              <w:rPr>
                <w:rFonts w:hint="eastAsia" w:ascii="Times New Roman" w:eastAsia="宋体"/>
                <w:bCs/>
                <w:color w:val="auto"/>
                <w:highlight w:val="none"/>
                <w:lang w:val="en-US" w:eastAsia="zh-CN"/>
              </w:rPr>
              <w:t>若不具开发价值，井口进行封井，临时道路进行平整，</w:t>
            </w:r>
            <w:r>
              <w:rPr>
                <w:rFonts w:hint="eastAsia"/>
                <w:bCs/>
                <w:color w:val="auto"/>
                <w:highlight w:val="none"/>
                <w:lang w:val="en-US" w:eastAsia="zh-CN"/>
              </w:rPr>
              <w:t>为植被恢复创造条件</w:t>
            </w:r>
            <w:r>
              <w:rPr>
                <w:rFonts w:hint="eastAsia" w:ascii="Times New Roman" w:eastAsia="宋体"/>
                <w:bCs/>
                <w:color w:val="auto"/>
                <w:highlight w:val="none"/>
                <w:lang w:val="en-US" w:eastAsia="zh-CN"/>
              </w:rPr>
              <w:t>。</w:t>
            </w:r>
          </w:p>
          <w:p>
            <w:pPr>
              <w:keepNext w:val="0"/>
              <w:keepLines w:val="0"/>
              <w:pageBreakBefore w:val="0"/>
              <w:kinsoku/>
              <w:wordWrap w:val="0"/>
              <w:overflowPunct/>
              <w:topLinePunct/>
              <w:autoSpaceDE w:val="0"/>
              <w:autoSpaceDN w:val="0"/>
              <w:bidi w:val="0"/>
              <w:adjustRightInd/>
              <w:snapToGrid w:val="0"/>
              <w:spacing w:line="500" w:lineRule="exact"/>
              <w:ind w:firstLine="480" w:firstLineChars="200"/>
              <w:textAlignment w:val="center"/>
              <w:rPr>
                <w:rFonts w:hint="eastAsia"/>
                <w:bCs/>
                <w:color w:val="auto"/>
                <w:highlight w:val="none"/>
                <w:lang w:val="en-US" w:eastAsia="zh-CN"/>
              </w:rPr>
            </w:pPr>
            <w:r>
              <w:rPr>
                <w:rFonts w:hint="eastAsia"/>
                <w:bCs/>
                <w:color w:val="auto"/>
                <w:highlight w:val="none"/>
                <w:lang w:val="en-US" w:eastAsia="zh-CN"/>
              </w:rPr>
              <w:t>（</w:t>
            </w:r>
            <w:r>
              <w:rPr>
                <w:rFonts w:hint="eastAsia" w:ascii="Times New Roman" w:eastAsia="宋体"/>
                <w:bCs/>
                <w:color w:val="auto"/>
                <w:highlight w:val="none"/>
                <w:lang w:val="en-US" w:eastAsia="zh-CN"/>
              </w:rPr>
              <w:t>3）废弃井生态修复措施</w:t>
            </w:r>
          </w:p>
          <w:p>
            <w:pPr>
              <w:keepNext w:val="0"/>
              <w:keepLines w:val="0"/>
              <w:pageBreakBefore w:val="0"/>
              <w:kinsoku/>
              <w:wordWrap w:val="0"/>
              <w:overflowPunct/>
              <w:topLinePunct/>
              <w:autoSpaceDE w:val="0"/>
              <w:autoSpaceDN w:val="0"/>
              <w:bidi w:val="0"/>
              <w:adjustRightInd/>
              <w:snapToGrid w:val="0"/>
              <w:spacing w:line="500" w:lineRule="exact"/>
              <w:ind w:firstLine="480" w:firstLineChars="200"/>
              <w:textAlignment w:val="center"/>
              <w:rPr>
                <w:rFonts w:hint="eastAsia"/>
                <w:bCs/>
                <w:color w:val="auto"/>
                <w:highlight w:val="none"/>
                <w:lang w:val="en-US" w:eastAsia="zh-CN"/>
              </w:rPr>
            </w:pPr>
            <w:bookmarkStart w:id="146" w:name="OLE_LINK65"/>
            <w:r>
              <w:rPr>
                <w:rFonts w:hint="eastAsia" w:ascii="Times New Roman" w:eastAsia="宋体"/>
                <w:bCs/>
                <w:color w:val="auto"/>
                <w:highlight w:val="none"/>
                <w:lang w:val="en-US" w:eastAsia="zh-CN"/>
              </w:rPr>
              <w:t>根据《矿山生态环境保护与恢复治理技术规范</w:t>
            </w:r>
            <w:r>
              <w:rPr>
                <w:rFonts w:hint="eastAsia"/>
                <w:bCs/>
                <w:color w:val="auto"/>
                <w:highlight w:val="none"/>
                <w:lang w:val="en-US" w:eastAsia="zh-CN"/>
              </w:rPr>
              <w:t>（</w:t>
            </w:r>
            <w:r>
              <w:rPr>
                <w:rFonts w:hint="eastAsia" w:ascii="Times New Roman" w:eastAsia="宋体"/>
                <w:bCs/>
                <w:color w:val="auto"/>
                <w:highlight w:val="none"/>
                <w:lang w:val="en-US" w:eastAsia="zh-CN"/>
              </w:rPr>
              <w:t>试行）》</w:t>
            </w:r>
            <w:r>
              <w:rPr>
                <w:rFonts w:hint="eastAsia"/>
                <w:bCs/>
                <w:color w:val="auto"/>
                <w:highlight w:val="none"/>
                <w:lang w:val="en-US" w:eastAsia="zh-CN"/>
              </w:rPr>
              <w:t>（</w:t>
            </w:r>
            <w:r>
              <w:rPr>
                <w:rFonts w:hint="eastAsia" w:ascii="Times New Roman" w:eastAsia="宋体"/>
                <w:bCs/>
                <w:color w:val="auto"/>
                <w:highlight w:val="none"/>
                <w:lang w:val="en-US" w:eastAsia="zh-CN"/>
              </w:rPr>
              <w:t>HJ651-2013）、《陆上石油</w:t>
            </w:r>
            <w:r>
              <w:rPr>
                <w:rFonts w:hint="eastAsia"/>
                <w:bCs/>
                <w:color w:val="auto"/>
                <w:highlight w:val="none"/>
                <w:lang w:val="en-US" w:eastAsia="zh-CN"/>
              </w:rPr>
              <w:t>天</w:t>
            </w:r>
            <w:r>
              <w:rPr>
                <w:rFonts w:hint="eastAsia" w:ascii="Times New Roman" w:eastAsia="宋体"/>
                <w:bCs/>
                <w:color w:val="auto"/>
                <w:highlight w:val="none"/>
                <w:lang w:val="en-US" w:eastAsia="zh-CN"/>
              </w:rPr>
              <w:t>然气开采业绿色矿山建设规范》</w:t>
            </w:r>
            <w:r>
              <w:rPr>
                <w:rFonts w:hint="eastAsia"/>
                <w:bCs/>
                <w:color w:val="auto"/>
                <w:highlight w:val="none"/>
                <w:lang w:val="en-US" w:eastAsia="zh-CN"/>
              </w:rPr>
              <w:t>（</w:t>
            </w:r>
            <w:r>
              <w:rPr>
                <w:rFonts w:hint="eastAsia" w:ascii="Times New Roman" w:eastAsia="宋体"/>
                <w:bCs/>
                <w:color w:val="auto"/>
                <w:highlight w:val="none"/>
                <w:lang w:val="en-US" w:eastAsia="zh-CN"/>
              </w:rPr>
              <w:t>DZ/T0317-2018）和《废弃井封井回填</w:t>
            </w:r>
            <w:r>
              <w:rPr>
                <w:rFonts w:hint="eastAsia"/>
                <w:bCs/>
                <w:color w:val="auto"/>
                <w:highlight w:val="none"/>
                <w:lang w:val="en-US" w:eastAsia="zh-CN"/>
              </w:rPr>
              <w:t>技术</w:t>
            </w:r>
            <w:r>
              <w:rPr>
                <w:rFonts w:hint="eastAsia" w:ascii="Times New Roman" w:eastAsia="宋体"/>
                <w:bCs/>
                <w:color w:val="auto"/>
                <w:highlight w:val="none"/>
                <w:lang w:val="en-US" w:eastAsia="zh-CN"/>
              </w:rPr>
              <w:t>指南</w:t>
            </w:r>
            <w:r>
              <w:rPr>
                <w:rFonts w:hint="eastAsia"/>
                <w:bCs/>
                <w:color w:val="auto"/>
                <w:highlight w:val="none"/>
                <w:lang w:val="en-US" w:eastAsia="zh-CN"/>
              </w:rPr>
              <w:t>（</w:t>
            </w:r>
            <w:r>
              <w:rPr>
                <w:rFonts w:hint="eastAsia" w:ascii="Times New Roman" w:eastAsia="宋体"/>
                <w:bCs/>
                <w:color w:val="auto"/>
                <w:highlight w:val="none"/>
                <w:lang w:val="en-US" w:eastAsia="zh-CN"/>
              </w:rPr>
              <w:t>试行</w:t>
            </w:r>
            <w:r>
              <w:rPr>
                <w:rFonts w:hint="eastAsia"/>
                <w:bCs/>
                <w:color w:val="auto"/>
                <w:highlight w:val="none"/>
                <w:lang w:val="en-US" w:eastAsia="zh-CN"/>
              </w:rPr>
              <w:t>）</w:t>
            </w:r>
            <w:r>
              <w:rPr>
                <w:rFonts w:hint="eastAsia" w:ascii="Times New Roman" w:eastAsia="宋体"/>
                <w:bCs/>
                <w:color w:val="auto"/>
                <w:highlight w:val="none"/>
                <w:lang w:val="en-US" w:eastAsia="zh-CN"/>
              </w:rPr>
              <w:t>》中的相关要求，勘探活动结束后，应根据景观相似原则，对勘探活动造成的土壤、植被和地表景观破坏进行恢复。对水文地质条件及道路安全有影响或重要建筑物附近的钻孔或坑井应予回填封闭，并恢复其原有生态功能。对项目区域不再使用的各项临时建</w:t>
            </w:r>
            <w:r>
              <w:rPr>
                <w:rFonts w:hint="eastAsia"/>
                <w:bCs/>
                <w:color w:val="auto"/>
                <w:highlight w:val="none"/>
                <w:lang w:val="en-US" w:eastAsia="zh-CN"/>
              </w:rPr>
              <w:t>（</w:t>
            </w:r>
            <w:r>
              <w:rPr>
                <w:rFonts w:hint="eastAsia" w:ascii="Times New Roman" w:eastAsia="宋体"/>
                <w:bCs/>
                <w:color w:val="auto"/>
                <w:highlight w:val="none"/>
                <w:lang w:val="en-US" w:eastAsia="zh-CN"/>
              </w:rPr>
              <w:t>构</w:t>
            </w:r>
            <w:r>
              <w:rPr>
                <w:rFonts w:hint="eastAsia"/>
                <w:bCs/>
                <w:color w:val="auto"/>
                <w:highlight w:val="none"/>
                <w:lang w:val="en-US" w:eastAsia="zh-CN"/>
              </w:rPr>
              <w:t>）</w:t>
            </w:r>
            <w:r>
              <w:rPr>
                <w:rFonts w:hint="eastAsia" w:ascii="Times New Roman" w:eastAsia="宋体"/>
                <w:bCs/>
                <w:color w:val="auto"/>
                <w:highlight w:val="none"/>
                <w:lang w:val="en-US" w:eastAsia="zh-CN"/>
              </w:rPr>
              <w:t>筑物和基础设施应全部拆除，并进行景观和植被恢复。转为其他用途的，应开展污染场地调查、风险评估与修复治理。勘探后的封闭井应将井口封堵完整，采取遮挡和防护措施并设立警示牌。</w:t>
            </w:r>
          </w:p>
          <w:bookmarkEnd w:id="146"/>
          <w:p>
            <w:pPr>
              <w:pStyle w:val="54"/>
              <w:bidi w:val="0"/>
              <w:ind w:left="9" w:leftChars="0" w:firstLineChars="0"/>
              <w:rPr>
                <w:rFonts w:hint="default"/>
                <w:color w:val="auto"/>
                <w:lang w:val="en-US" w:eastAsia="zh-CN"/>
              </w:rPr>
            </w:pPr>
            <w:r>
              <w:rPr>
                <w:rFonts w:hint="eastAsia"/>
                <w:color w:val="auto"/>
                <w:lang w:val="en-US" w:eastAsia="zh-CN"/>
              </w:rPr>
              <w:t>生态环境保护措施</w:t>
            </w:r>
          </w:p>
          <w:p>
            <w:pPr>
              <w:pStyle w:val="10"/>
              <w:bidi w:val="0"/>
              <w:rPr>
                <w:rFonts w:hint="eastAsia"/>
                <w:color w:val="auto"/>
              </w:rPr>
            </w:pPr>
            <w:r>
              <w:rPr>
                <w:rFonts w:hint="eastAsia"/>
                <w:color w:val="auto"/>
              </w:rPr>
              <w:t>（1）封井</w:t>
            </w:r>
            <w:r>
              <w:rPr>
                <w:color w:val="auto"/>
              </w:rPr>
              <w:t>材料应无污染，不得使用可能对地下水造成污染的材料</w:t>
            </w:r>
            <w:r>
              <w:rPr>
                <w:rFonts w:hint="eastAsia"/>
                <w:color w:val="auto"/>
              </w:rPr>
              <w:t>。</w:t>
            </w:r>
          </w:p>
          <w:p>
            <w:pPr>
              <w:pStyle w:val="10"/>
              <w:bidi w:val="0"/>
              <w:rPr>
                <w:rFonts w:hint="eastAsia"/>
                <w:color w:val="auto"/>
                <w:lang w:val="en-US" w:eastAsia="zh-CN"/>
              </w:rPr>
            </w:pPr>
            <w:r>
              <w:rPr>
                <w:rFonts w:hint="eastAsia"/>
                <w:color w:val="auto"/>
                <w:lang w:val="en-US" w:eastAsia="zh-CN"/>
              </w:rPr>
              <w:t>（2）</w:t>
            </w:r>
            <w:r>
              <w:rPr>
                <w:color w:val="auto"/>
                <w:lang w:val="en-US" w:eastAsia="zh-CN"/>
              </w:rPr>
              <w:t>应开展井盖封堵或密闭填充，</w:t>
            </w:r>
            <w:r>
              <w:rPr>
                <w:rFonts w:hint="eastAsia"/>
                <w:color w:val="auto"/>
                <w:lang w:val="en-US" w:eastAsia="zh-CN"/>
              </w:rPr>
              <w:t>对废弃井进行封井回填并做好井口处置，</w:t>
            </w:r>
            <w:r>
              <w:rPr>
                <w:color w:val="auto"/>
                <w:lang w:val="en-US" w:eastAsia="zh-CN"/>
              </w:rPr>
              <w:t>确保地表污染物不进入井内，各层位地下水不连通</w:t>
            </w:r>
            <w:r>
              <w:rPr>
                <w:rFonts w:hint="eastAsia"/>
                <w:color w:val="auto"/>
                <w:lang w:val="en-US" w:eastAsia="zh-CN"/>
              </w:rPr>
              <w:t>。</w:t>
            </w:r>
          </w:p>
          <w:p>
            <w:pPr>
              <w:pStyle w:val="10"/>
              <w:bidi w:val="0"/>
              <w:rPr>
                <w:rFonts w:hint="eastAsia"/>
                <w:color w:val="auto"/>
                <w:lang w:val="en-US" w:eastAsia="zh-CN"/>
              </w:rPr>
            </w:pPr>
            <w:r>
              <w:rPr>
                <w:rFonts w:hint="eastAsia"/>
                <w:color w:val="auto"/>
                <w:lang w:val="en-US" w:eastAsia="zh-CN"/>
              </w:rPr>
              <w:t>（3）</w:t>
            </w:r>
            <w:r>
              <w:rPr>
                <w:color w:val="auto"/>
                <w:lang w:val="en-US" w:eastAsia="zh-CN"/>
              </w:rPr>
              <w:t>确保固井质量和封井质量合格</w:t>
            </w:r>
            <w:r>
              <w:rPr>
                <w:rFonts w:hint="eastAsia"/>
                <w:color w:val="auto"/>
                <w:lang w:val="en-US" w:eastAsia="zh-CN"/>
              </w:rPr>
              <w:t>。</w:t>
            </w:r>
          </w:p>
          <w:p>
            <w:pPr>
              <w:pStyle w:val="10"/>
              <w:bidi w:val="0"/>
              <w:rPr>
                <w:rFonts w:hint="eastAsia" w:ascii="宋体" w:hAnsi="宋体" w:eastAsia="宋体" w:cs="Times New Roman"/>
                <w:color w:val="auto"/>
                <w:kern w:val="2"/>
                <w:szCs w:val="24"/>
                <w:lang w:val="en-US" w:eastAsia="zh-CN" w:bidi="ar-SA"/>
              </w:rPr>
            </w:pPr>
            <w:r>
              <w:rPr>
                <w:rFonts w:hint="eastAsia"/>
                <w:color w:val="auto"/>
                <w:lang w:val="en-US" w:eastAsia="zh-CN"/>
              </w:rPr>
              <w:t>（4）封井作业结束后及时清理作业现场</w:t>
            </w:r>
            <w:r>
              <w:rPr>
                <w:color w:val="auto"/>
                <w:lang w:val="en-US" w:eastAsia="zh-CN"/>
              </w:rPr>
              <w:t>，各</w:t>
            </w:r>
            <w:r>
              <w:rPr>
                <w:rFonts w:hint="eastAsia"/>
                <w:color w:val="auto"/>
                <w:lang w:val="en-US" w:eastAsia="zh-CN"/>
              </w:rPr>
              <w:t>个</w:t>
            </w:r>
            <w:r>
              <w:rPr>
                <w:color w:val="auto"/>
                <w:lang w:val="en-US" w:eastAsia="zh-CN"/>
              </w:rPr>
              <w:t>建构筑物和基础设施应全部拆除</w:t>
            </w:r>
            <w:r>
              <w:rPr>
                <w:rFonts w:hint="eastAsia"/>
                <w:color w:val="auto"/>
                <w:lang w:val="en-US" w:eastAsia="zh-CN"/>
              </w:rPr>
              <w:t>，</w:t>
            </w:r>
            <w:r>
              <w:rPr>
                <w:color w:val="auto"/>
                <w:lang w:val="en-US" w:eastAsia="zh-CN"/>
              </w:rPr>
              <w:t>做到“工完、料尽、场地清”，确保采取的封井措施有效可行</w:t>
            </w:r>
            <w:r>
              <w:rPr>
                <w:rFonts w:hint="eastAsia"/>
                <w:color w:val="auto"/>
                <w:lang w:val="en-US" w:eastAsia="zh-CN"/>
              </w:rPr>
              <w:t>。施工区域采用临时占地剥离表土对其进行回填，以便于恢复复垦条件。</w:t>
            </w:r>
            <w:r>
              <w:rPr>
                <w:color w:val="auto"/>
                <w:lang w:val="en-US" w:eastAsia="zh-CN"/>
              </w:rPr>
              <w:t>各</w:t>
            </w:r>
            <w:r>
              <w:rPr>
                <w:rFonts w:hint="eastAsia"/>
                <w:color w:val="auto"/>
                <w:lang w:val="en-US" w:eastAsia="zh-CN"/>
              </w:rPr>
              <w:t>个</w:t>
            </w:r>
            <w:r>
              <w:rPr>
                <w:color w:val="auto"/>
                <w:lang w:val="en-US" w:eastAsia="zh-CN"/>
              </w:rPr>
              <w:t>建构筑物和基础设施</w:t>
            </w:r>
            <w:r>
              <w:rPr>
                <w:rFonts w:hint="eastAsia"/>
                <w:color w:val="auto"/>
                <w:lang w:val="en-US" w:eastAsia="zh-CN"/>
              </w:rPr>
              <w:t>拆除过程中会产生一定扬尘，应避开大风天气施</w:t>
            </w:r>
            <w:r>
              <w:rPr>
                <w:rFonts w:hint="eastAsia" w:ascii="宋体" w:hAnsi="宋体" w:eastAsia="宋体" w:cs="Times New Roman"/>
                <w:color w:val="auto"/>
                <w:kern w:val="2"/>
                <w:szCs w:val="24"/>
                <w:lang w:val="en-US" w:eastAsia="zh-CN" w:bidi="ar-SA"/>
              </w:rPr>
              <w:t>工。</w:t>
            </w:r>
          </w:p>
          <w:p>
            <w:pPr>
              <w:pStyle w:val="10"/>
              <w:bidi w:val="0"/>
              <w:rPr>
                <w:rFonts w:hint="eastAsia" w:ascii="宋体" w:hAnsi="宋体" w:eastAsia="宋体" w:cs="Times New Roman"/>
                <w:color w:val="auto"/>
                <w:kern w:val="2"/>
                <w:szCs w:val="24"/>
                <w:lang w:val="en-US" w:eastAsia="zh-CN" w:bidi="ar-SA"/>
              </w:rPr>
            </w:pPr>
          </w:p>
          <w:p>
            <w:pPr>
              <w:pStyle w:val="10"/>
              <w:bidi w:val="0"/>
              <w:spacing w:line="240" w:lineRule="auto"/>
              <w:rPr>
                <w:rFonts w:hint="eastAsia" w:ascii="宋体" w:hAnsi="宋体" w:eastAsia="宋体" w:cs="Times New Roman"/>
                <w:color w:val="auto"/>
                <w:kern w:val="2"/>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61" w:type="pct"/>
            <w:vAlign w:val="center"/>
          </w:tcPr>
          <w:p>
            <w:pPr>
              <w:adjustRightInd w:val="0"/>
              <w:snapToGrid w:val="0"/>
              <w:jc w:val="center"/>
              <w:rPr>
                <w:rFonts w:hint="default" w:ascii="Times New Roman" w:hAnsi="Times New Roman" w:cs="Times New Roman"/>
                <w:color w:val="auto"/>
              </w:rPr>
            </w:pPr>
            <w:r>
              <w:rPr>
                <w:rFonts w:hint="default" w:ascii="Times New Roman" w:hAnsi="Times New Roman" w:cs="Times New Roman"/>
                <w:bCs/>
                <w:color w:val="auto"/>
              </w:rPr>
              <w:t>其他</w:t>
            </w:r>
          </w:p>
        </w:tc>
        <w:tc>
          <w:tcPr>
            <w:tcW w:w="5000" w:type="pct"/>
            <w:vAlign w:val="center"/>
          </w:tcPr>
          <w:p>
            <w:pPr>
              <w:pStyle w:val="54"/>
              <w:numPr>
                <w:ilvl w:val="0"/>
                <w:numId w:val="21"/>
              </w:numPr>
              <w:bidi w:val="0"/>
              <w:ind w:left="9" w:leftChars="0" w:firstLineChars="0"/>
              <w:rPr>
                <w:rFonts w:hint="default"/>
                <w:color w:val="auto"/>
              </w:rPr>
            </w:pPr>
            <w:r>
              <w:rPr>
                <w:rFonts w:hint="default"/>
                <w:color w:val="auto"/>
              </w:rPr>
              <w:t>环境管理</w:t>
            </w:r>
          </w:p>
          <w:p>
            <w:pPr>
              <w:snapToGrid w:val="0"/>
              <w:spacing w:line="480" w:lineRule="exact"/>
              <w:ind w:firstLine="480" w:firstLineChars="200"/>
              <w:rPr>
                <w:rFonts w:hint="default" w:ascii="Times New Roman" w:hAnsi="Times New Roman" w:cs="Times New Roman"/>
                <w:color w:val="auto"/>
                <w:lang w:val="en-US" w:eastAsia="zh-CN"/>
              </w:rPr>
            </w:pPr>
            <w:r>
              <w:rPr>
                <w:rFonts w:hint="eastAsia" w:cs="Times New Roman"/>
                <w:color w:val="auto"/>
                <w:lang w:eastAsia="zh-CN"/>
              </w:rPr>
              <w:t>（</w:t>
            </w:r>
            <w:r>
              <w:rPr>
                <w:rFonts w:hint="eastAsia" w:cs="Times New Roman"/>
                <w:color w:val="auto"/>
                <w:lang w:val="en-US" w:eastAsia="zh-CN"/>
              </w:rPr>
              <w:t>1</w:t>
            </w:r>
            <w:r>
              <w:rPr>
                <w:rFonts w:hint="eastAsia" w:cs="Times New Roman"/>
                <w:color w:val="auto"/>
                <w:lang w:eastAsia="zh-CN"/>
              </w:rPr>
              <w:t>）</w:t>
            </w:r>
            <w:r>
              <w:rPr>
                <w:rFonts w:hint="eastAsia" w:cs="Times New Roman"/>
                <w:color w:val="auto"/>
                <w:lang w:val="en-US" w:eastAsia="zh-CN"/>
              </w:rPr>
              <w:t>环境监管</w:t>
            </w:r>
          </w:p>
          <w:p>
            <w:pPr>
              <w:snapToGrid w:val="0"/>
              <w:spacing w:line="480" w:lineRule="exact"/>
              <w:ind w:firstLine="480" w:firstLineChars="200"/>
              <w:rPr>
                <w:rFonts w:hint="default" w:ascii="Times New Roman" w:hAnsi="Times New Roman" w:cs="Times New Roman"/>
                <w:color w:val="auto"/>
              </w:rPr>
            </w:pPr>
            <w:r>
              <w:rPr>
                <w:rFonts w:hint="default" w:ascii="Times New Roman" w:hAnsi="Times New Roman" w:cs="Times New Roman"/>
                <w:color w:val="auto"/>
                <w:lang w:eastAsia="zh-CN"/>
              </w:rPr>
              <w:t>本</w:t>
            </w:r>
            <w:r>
              <w:rPr>
                <w:rFonts w:hint="default" w:ascii="Times New Roman" w:hAnsi="Times New Roman" w:cs="Times New Roman"/>
                <w:color w:val="auto"/>
              </w:rPr>
              <w:t>项目实施过程中，将根据</w:t>
            </w:r>
            <w:r>
              <w:rPr>
                <w:rFonts w:hint="eastAsia" w:cs="Times New Roman"/>
                <w:color w:val="auto"/>
                <w:lang w:eastAsia="zh-CN"/>
              </w:rPr>
              <w:t>中国石油天然气股份有限公司大港油田分公司</w:t>
            </w:r>
            <w:r>
              <w:rPr>
                <w:rFonts w:hint="default" w:ascii="Times New Roman" w:hAnsi="Times New Roman" w:cs="Times New Roman"/>
                <w:color w:val="auto"/>
              </w:rPr>
              <w:t>在环境管理上建立的健康、安全与环境管理体系（HSE管理体系），落实各项环保和安全措施，减少项目开发对周围环境的影响。本报告提出的环境管理主要内容见表</w:t>
            </w:r>
            <w:r>
              <w:rPr>
                <w:rFonts w:hint="default" w:ascii="Times New Roman" w:hAnsi="Times New Roman" w:cs="Times New Roman"/>
                <w:color w:val="auto"/>
                <w:lang w:val="en-US" w:eastAsia="zh-CN"/>
              </w:rPr>
              <w:t>5-</w:t>
            </w:r>
            <w:r>
              <w:rPr>
                <w:rFonts w:hint="eastAsia" w:cs="Times New Roman"/>
                <w:color w:val="auto"/>
                <w:lang w:val="en-US" w:eastAsia="zh-CN"/>
              </w:rPr>
              <w:t>5</w:t>
            </w:r>
            <w:r>
              <w:rPr>
                <w:rFonts w:hint="default" w:ascii="Times New Roman" w:hAnsi="Times New Roman" w:cs="Times New Roman"/>
                <w:color w:val="auto"/>
              </w:rPr>
              <w:t>。</w:t>
            </w:r>
          </w:p>
          <w:p>
            <w:pPr>
              <w:pStyle w:val="56"/>
              <w:bidi w:val="0"/>
              <w:rPr>
                <w:rFonts w:hint="default"/>
                <w:color w:val="auto"/>
              </w:rPr>
            </w:pPr>
            <w:r>
              <w:rPr>
                <w:rFonts w:hint="default"/>
                <w:color w:val="auto"/>
              </w:rPr>
              <w:t>表</w:t>
            </w:r>
            <w:r>
              <w:rPr>
                <w:rFonts w:hint="default"/>
                <w:color w:val="auto"/>
                <w:lang w:val="en-US" w:eastAsia="zh-CN"/>
              </w:rPr>
              <w:t>5-</w:t>
            </w:r>
            <w:r>
              <w:rPr>
                <w:rFonts w:hint="eastAsia"/>
                <w:color w:val="auto"/>
                <w:lang w:val="en-US" w:eastAsia="zh-CN"/>
              </w:rPr>
              <w:t>5</w:t>
            </w:r>
            <w:r>
              <w:rPr>
                <w:rFonts w:hint="default"/>
                <w:color w:val="auto"/>
              </w:rPr>
              <w:t xml:space="preserve">  施工期环境保护行动计划表</w:t>
            </w:r>
          </w:p>
          <w:tbl>
            <w:tblPr>
              <w:tblStyle w:val="27"/>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586"/>
              <w:gridCol w:w="1044"/>
              <w:gridCol w:w="6240"/>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72" w:type="pct"/>
                  <w:tcMar>
                    <w:left w:w="0" w:type="dxa"/>
                    <w:right w:w="0" w:type="dxa"/>
                  </w:tcMar>
                  <w:vAlign w:val="center"/>
                </w:tcPr>
                <w:p>
                  <w:pPr>
                    <w:pStyle w:val="35"/>
                    <w:bidi w:val="0"/>
                    <w:spacing w:line="240" w:lineRule="auto"/>
                    <w:rPr>
                      <w:rFonts w:hint="default" w:ascii="Times New Roman" w:hAnsi="Times New Roman" w:eastAsia="宋体" w:cs="Times New Roman"/>
                      <w:color w:val="auto"/>
                      <w:szCs w:val="21"/>
                    </w:rPr>
                  </w:pPr>
                  <w:bookmarkStart w:id="147" w:name="_Hlk183042634"/>
                  <w:r>
                    <w:rPr>
                      <w:rFonts w:hint="default"/>
                      <w:color w:val="auto"/>
                    </w:rPr>
                    <w:t>序号</w:t>
                  </w:r>
                </w:p>
              </w:tc>
              <w:tc>
                <w:tcPr>
                  <w:tcW w:w="663" w:type="pct"/>
                  <w:tcMar>
                    <w:left w:w="0" w:type="dxa"/>
                    <w:right w:w="0" w:type="dxa"/>
                  </w:tcMar>
                  <w:vAlign w:val="center"/>
                </w:tcPr>
                <w:p>
                  <w:pPr>
                    <w:pStyle w:val="35"/>
                    <w:bidi w:val="0"/>
                    <w:spacing w:line="240" w:lineRule="auto"/>
                    <w:rPr>
                      <w:rFonts w:hint="default" w:ascii="Times New Roman" w:hAnsi="Times New Roman" w:eastAsia="宋体" w:cs="Times New Roman"/>
                      <w:color w:val="auto"/>
                      <w:szCs w:val="21"/>
                    </w:rPr>
                  </w:pPr>
                  <w:r>
                    <w:rPr>
                      <w:rFonts w:hint="default"/>
                      <w:color w:val="auto"/>
                    </w:rPr>
                    <w:t>影响因素</w:t>
                  </w:r>
                </w:p>
              </w:tc>
              <w:tc>
                <w:tcPr>
                  <w:tcW w:w="3963" w:type="pct"/>
                  <w:tcMar>
                    <w:left w:w="0" w:type="dxa"/>
                    <w:right w:w="0" w:type="dxa"/>
                  </w:tcMar>
                  <w:vAlign w:val="center"/>
                </w:tcPr>
                <w:p>
                  <w:pPr>
                    <w:pStyle w:val="35"/>
                    <w:bidi w:val="0"/>
                    <w:spacing w:line="240" w:lineRule="auto"/>
                    <w:rPr>
                      <w:rFonts w:hint="default" w:ascii="Times New Roman" w:hAnsi="Times New Roman" w:eastAsia="宋体" w:cs="Times New Roman"/>
                      <w:color w:val="auto"/>
                      <w:szCs w:val="21"/>
                    </w:rPr>
                  </w:pPr>
                  <w:r>
                    <w:rPr>
                      <w:rFonts w:hint="default"/>
                      <w:color w:val="auto"/>
                    </w:rPr>
                    <w:t>环保措施</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72" w:type="pct"/>
                  <w:tcMar>
                    <w:left w:w="0" w:type="dxa"/>
                    <w:right w:w="0" w:type="dxa"/>
                  </w:tcMar>
                  <w:vAlign w:val="center"/>
                </w:tcPr>
                <w:p>
                  <w:pPr>
                    <w:pStyle w:val="35"/>
                    <w:bidi w:val="0"/>
                    <w:spacing w:line="240" w:lineRule="auto"/>
                    <w:rPr>
                      <w:rFonts w:hint="default" w:ascii="Times New Roman" w:hAnsi="Times New Roman" w:eastAsia="宋体" w:cs="Times New Roman"/>
                      <w:color w:val="auto"/>
                      <w:szCs w:val="21"/>
                    </w:rPr>
                  </w:pPr>
                  <w:r>
                    <w:rPr>
                      <w:rFonts w:hint="default"/>
                      <w:color w:val="auto"/>
                    </w:rPr>
                    <w:t>1</w:t>
                  </w:r>
                </w:p>
              </w:tc>
              <w:tc>
                <w:tcPr>
                  <w:tcW w:w="663" w:type="pct"/>
                  <w:tcMar>
                    <w:left w:w="0" w:type="dxa"/>
                    <w:right w:w="0" w:type="dxa"/>
                  </w:tcMar>
                  <w:vAlign w:val="center"/>
                </w:tcPr>
                <w:p>
                  <w:pPr>
                    <w:pStyle w:val="35"/>
                    <w:bidi w:val="0"/>
                    <w:spacing w:line="240" w:lineRule="auto"/>
                    <w:rPr>
                      <w:rFonts w:hint="default" w:ascii="Times New Roman" w:hAnsi="Times New Roman" w:eastAsia="宋体" w:cs="Times New Roman"/>
                      <w:color w:val="auto"/>
                      <w:szCs w:val="21"/>
                    </w:rPr>
                  </w:pPr>
                  <w:r>
                    <w:rPr>
                      <w:rFonts w:hint="default"/>
                      <w:color w:val="auto"/>
                    </w:rPr>
                    <w:t>大气环境</w:t>
                  </w:r>
                </w:p>
              </w:tc>
              <w:tc>
                <w:tcPr>
                  <w:tcW w:w="3963" w:type="pct"/>
                  <w:tcMar>
                    <w:left w:w="0" w:type="dxa"/>
                    <w:right w:w="0" w:type="dxa"/>
                  </w:tcMar>
                  <w:vAlign w:val="center"/>
                </w:tcPr>
                <w:p>
                  <w:pPr>
                    <w:pStyle w:val="35"/>
                    <w:bidi w:val="0"/>
                    <w:spacing w:line="240" w:lineRule="auto"/>
                    <w:rPr>
                      <w:rFonts w:hint="default" w:ascii="Times New Roman" w:hAnsi="Times New Roman" w:eastAsia="宋体" w:cs="Times New Roman"/>
                      <w:color w:val="auto"/>
                      <w:szCs w:val="21"/>
                    </w:rPr>
                  </w:pPr>
                  <w:r>
                    <w:rPr>
                      <w:rFonts w:hint="default"/>
                      <w:color w:val="auto"/>
                      <w:lang w:val="en-US" w:eastAsia="zh-CN"/>
                    </w:rPr>
                    <w:t>对易起尘物料存放，运输过程进程苫盖、</w:t>
                  </w:r>
                  <w:r>
                    <w:rPr>
                      <w:rFonts w:hint="default"/>
                      <w:color w:val="auto"/>
                    </w:rPr>
                    <w:t>避免大风天气</w:t>
                  </w:r>
                  <w:r>
                    <w:rPr>
                      <w:rFonts w:hint="default"/>
                      <w:color w:val="auto"/>
                      <w:lang w:val="en-US" w:eastAsia="zh-CN"/>
                    </w:rPr>
                    <w:t>进行易起尘施工，</w:t>
                  </w:r>
                  <w:r>
                    <w:rPr>
                      <w:rFonts w:hint="default"/>
                      <w:color w:val="auto"/>
                    </w:rPr>
                    <w:t>施工</w:t>
                  </w:r>
                  <w:r>
                    <w:rPr>
                      <w:rFonts w:hint="default"/>
                      <w:color w:val="auto"/>
                      <w:lang w:val="en-US" w:eastAsia="zh-CN"/>
                    </w:rPr>
                    <w:t>机械设备和车辆</w:t>
                  </w:r>
                  <w:r>
                    <w:rPr>
                      <w:rFonts w:hint="default"/>
                      <w:color w:val="auto"/>
                    </w:rPr>
                    <w:t>使用符合国家标准的油品，并定期保养维护</w:t>
                  </w:r>
                  <w:r>
                    <w:rPr>
                      <w:rFonts w:hint="default"/>
                      <w:color w:val="auto"/>
                      <w:lang w:val="en-US" w:eastAsia="zh-CN"/>
                    </w:rPr>
                    <w:t>确保正常运行</w:t>
                  </w:r>
                  <w:r>
                    <w:rPr>
                      <w:rFonts w:hint="default"/>
                      <w:color w:val="auto"/>
                    </w:rPr>
                    <w:t>，采出液采用密闭装载方式，柴油</w:t>
                  </w:r>
                  <w:r>
                    <w:rPr>
                      <w:rFonts w:hint="default"/>
                      <w:color w:val="auto"/>
                      <w:lang w:val="en-US" w:eastAsia="zh-CN"/>
                    </w:rPr>
                    <w:t>密闭储存</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72" w:type="pct"/>
                  <w:tcMar>
                    <w:left w:w="0" w:type="dxa"/>
                    <w:right w:w="0" w:type="dxa"/>
                  </w:tcMar>
                  <w:vAlign w:val="center"/>
                </w:tcPr>
                <w:p>
                  <w:pPr>
                    <w:pStyle w:val="35"/>
                    <w:bidi w:val="0"/>
                    <w:spacing w:line="240" w:lineRule="auto"/>
                    <w:rPr>
                      <w:rFonts w:hint="default" w:ascii="Times New Roman" w:hAnsi="Times New Roman" w:eastAsia="宋体" w:cs="Times New Roman"/>
                      <w:color w:val="auto"/>
                      <w:szCs w:val="21"/>
                    </w:rPr>
                  </w:pPr>
                  <w:r>
                    <w:rPr>
                      <w:rFonts w:hint="default"/>
                      <w:color w:val="auto"/>
                    </w:rPr>
                    <w:t>2</w:t>
                  </w:r>
                </w:p>
              </w:tc>
              <w:tc>
                <w:tcPr>
                  <w:tcW w:w="663" w:type="pct"/>
                  <w:tcMar>
                    <w:left w:w="0" w:type="dxa"/>
                    <w:right w:w="0" w:type="dxa"/>
                  </w:tcMar>
                  <w:vAlign w:val="center"/>
                </w:tcPr>
                <w:p>
                  <w:pPr>
                    <w:pStyle w:val="35"/>
                    <w:bidi w:val="0"/>
                    <w:spacing w:line="240" w:lineRule="auto"/>
                    <w:rPr>
                      <w:rFonts w:hint="default" w:ascii="Times New Roman" w:hAnsi="Times New Roman" w:eastAsia="宋体" w:cs="Times New Roman"/>
                      <w:color w:val="auto"/>
                      <w:szCs w:val="21"/>
                    </w:rPr>
                  </w:pPr>
                  <w:r>
                    <w:rPr>
                      <w:rFonts w:hint="default"/>
                      <w:color w:val="auto"/>
                    </w:rPr>
                    <w:t>声环境</w:t>
                  </w:r>
                </w:p>
              </w:tc>
              <w:tc>
                <w:tcPr>
                  <w:tcW w:w="3963" w:type="pct"/>
                  <w:tcMar>
                    <w:left w:w="0" w:type="dxa"/>
                    <w:right w:w="0" w:type="dxa"/>
                  </w:tcMar>
                  <w:vAlign w:val="center"/>
                </w:tcPr>
                <w:p>
                  <w:pPr>
                    <w:pStyle w:val="35"/>
                    <w:bidi w:val="0"/>
                    <w:spacing w:line="240" w:lineRule="auto"/>
                    <w:rPr>
                      <w:rFonts w:hint="default" w:ascii="Times New Roman" w:hAnsi="Times New Roman" w:eastAsia="宋体" w:cs="Times New Roman"/>
                      <w:color w:val="auto"/>
                      <w:szCs w:val="21"/>
                    </w:rPr>
                  </w:pPr>
                  <w:r>
                    <w:rPr>
                      <w:rFonts w:hint="default"/>
                      <w:color w:val="auto"/>
                    </w:rPr>
                    <w:t>施工单位应使用低噪声的施工设备、机械，并定期进行检修和维护，使其处于运行良好的状态</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72" w:type="pct"/>
                  <w:tcMar>
                    <w:left w:w="0" w:type="dxa"/>
                    <w:right w:w="0" w:type="dxa"/>
                  </w:tcMar>
                  <w:vAlign w:val="center"/>
                </w:tcPr>
                <w:p>
                  <w:pPr>
                    <w:pStyle w:val="35"/>
                    <w:bidi w:val="0"/>
                    <w:spacing w:line="240" w:lineRule="auto"/>
                    <w:rPr>
                      <w:rFonts w:hint="default" w:ascii="Times New Roman" w:hAnsi="Times New Roman" w:eastAsia="宋体" w:cs="Times New Roman"/>
                      <w:color w:val="auto"/>
                      <w:szCs w:val="21"/>
                    </w:rPr>
                  </w:pPr>
                  <w:r>
                    <w:rPr>
                      <w:rFonts w:hint="default"/>
                      <w:color w:val="auto"/>
                    </w:rPr>
                    <w:t>3</w:t>
                  </w:r>
                </w:p>
              </w:tc>
              <w:tc>
                <w:tcPr>
                  <w:tcW w:w="663" w:type="pct"/>
                  <w:tcMar>
                    <w:left w:w="0" w:type="dxa"/>
                    <w:right w:w="0" w:type="dxa"/>
                  </w:tcMar>
                  <w:vAlign w:val="center"/>
                </w:tcPr>
                <w:p>
                  <w:pPr>
                    <w:pStyle w:val="35"/>
                    <w:bidi w:val="0"/>
                    <w:spacing w:line="240" w:lineRule="auto"/>
                    <w:rPr>
                      <w:rFonts w:hint="default" w:ascii="Times New Roman" w:hAnsi="Times New Roman" w:eastAsia="宋体" w:cs="Times New Roman"/>
                      <w:color w:val="auto"/>
                      <w:szCs w:val="21"/>
                    </w:rPr>
                  </w:pPr>
                  <w:r>
                    <w:rPr>
                      <w:rFonts w:hint="default"/>
                      <w:color w:val="auto"/>
                    </w:rPr>
                    <w:t>水环境和土壤环境</w:t>
                  </w:r>
                </w:p>
              </w:tc>
              <w:tc>
                <w:tcPr>
                  <w:tcW w:w="3963" w:type="pct"/>
                  <w:tcMar>
                    <w:left w:w="0" w:type="dxa"/>
                    <w:right w:w="0" w:type="dxa"/>
                  </w:tcMar>
                  <w:vAlign w:val="center"/>
                </w:tcPr>
                <w:p>
                  <w:pPr>
                    <w:pStyle w:val="35"/>
                    <w:bidi w:val="0"/>
                    <w:spacing w:line="240" w:lineRule="auto"/>
                    <w:rPr>
                      <w:rFonts w:hint="default" w:ascii="Times New Roman" w:hAnsi="Times New Roman" w:eastAsia="宋体" w:cs="Times New Roman"/>
                      <w:color w:val="auto"/>
                      <w:szCs w:val="21"/>
                      <w:lang w:val="en-US" w:eastAsia="zh-CN"/>
                    </w:rPr>
                  </w:pPr>
                  <w:r>
                    <w:rPr>
                      <w:rFonts w:hint="default"/>
                      <w:color w:val="auto"/>
                    </w:rPr>
                    <w:t>钻井液采用不落地设备进行处理后回用于钻井液配置，不外排；试油期废水收集至地面储罐后由罐车拉运至石西集中处理站采出水处理系统处理；生活污水经临时</w:t>
                  </w:r>
                  <w:r>
                    <w:rPr>
                      <w:rFonts w:hint="default"/>
                      <w:color w:val="auto"/>
                      <w:lang w:eastAsia="zh-CN"/>
                    </w:rPr>
                    <w:t>防渗储集池</w:t>
                  </w:r>
                  <w:r>
                    <w:rPr>
                      <w:rFonts w:hint="default"/>
                      <w:color w:val="auto"/>
                    </w:rPr>
                    <w:t>收集暂存，清运至</w:t>
                  </w:r>
                  <w:r>
                    <w:rPr>
                      <w:rFonts w:hint="eastAsia"/>
                      <w:color w:val="auto"/>
                      <w:lang w:eastAsia="zh-CN"/>
                    </w:rPr>
                    <w:t>呼图壁县丰泉污水处理厂</w:t>
                  </w:r>
                  <w:r>
                    <w:rPr>
                      <w:rFonts w:hint="default"/>
                      <w:color w:val="auto"/>
                    </w:rPr>
                    <w:t>处理。做好关键区域的防渗措施；采用套管与地层隔离开、并在套管与地层之间注入水泥进行固井，且固井质量合格；各类废水和固体废物得到妥善处置。</w:t>
                  </w:r>
                  <w:r>
                    <w:rPr>
                      <w:rFonts w:hint="eastAsia"/>
                      <w:color w:val="auto"/>
                      <w:lang w:val="en-US" w:eastAsia="zh-CN"/>
                    </w:rPr>
                    <w:t>采取分区防渗措施</w:t>
                  </w:r>
                </w:p>
              </w:tc>
            </w:tr>
          </w:tbl>
          <w:p/>
          <w:tbl>
            <w:tblPr>
              <w:tblStyle w:val="27"/>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586"/>
              <w:gridCol w:w="1044"/>
              <w:gridCol w:w="6240"/>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72" w:type="pct"/>
                  <w:tcMar>
                    <w:left w:w="0" w:type="dxa"/>
                    <w:right w:w="0" w:type="dxa"/>
                  </w:tcMar>
                  <w:vAlign w:val="center"/>
                </w:tcPr>
                <w:p>
                  <w:pPr>
                    <w:pStyle w:val="35"/>
                    <w:bidi w:val="0"/>
                    <w:spacing w:line="240" w:lineRule="auto"/>
                    <w:rPr>
                      <w:rFonts w:hint="default" w:ascii="Times New Roman" w:hAnsi="Times New Roman" w:eastAsia="宋体" w:cs="Times New Roman"/>
                      <w:color w:val="auto"/>
                      <w:szCs w:val="21"/>
                    </w:rPr>
                  </w:pPr>
                  <w:r>
                    <w:rPr>
                      <w:rFonts w:hint="default"/>
                      <w:color w:val="auto"/>
                    </w:rPr>
                    <w:t>4</w:t>
                  </w:r>
                </w:p>
              </w:tc>
              <w:tc>
                <w:tcPr>
                  <w:tcW w:w="663" w:type="pct"/>
                  <w:tcMar>
                    <w:left w:w="0" w:type="dxa"/>
                    <w:right w:w="0" w:type="dxa"/>
                  </w:tcMar>
                  <w:vAlign w:val="center"/>
                </w:tcPr>
                <w:p>
                  <w:pPr>
                    <w:pStyle w:val="35"/>
                    <w:bidi w:val="0"/>
                    <w:spacing w:line="240" w:lineRule="auto"/>
                    <w:rPr>
                      <w:rFonts w:hint="default" w:ascii="Times New Roman" w:hAnsi="Times New Roman" w:eastAsia="宋体" w:cs="Times New Roman"/>
                      <w:color w:val="auto"/>
                      <w:szCs w:val="21"/>
                    </w:rPr>
                  </w:pPr>
                  <w:r>
                    <w:rPr>
                      <w:rFonts w:hint="default"/>
                      <w:color w:val="auto"/>
                    </w:rPr>
                    <w:t>固体废物</w:t>
                  </w:r>
                </w:p>
              </w:tc>
              <w:tc>
                <w:tcPr>
                  <w:tcW w:w="3963" w:type="pct"/>
                  <w:tcMar>
                    <w:left w:w="0" w:type="dxa"/>
                    <w:right w:w="0" w:type="dxa"/>
                  </w:tcMar>
                  <w:vAlign w:val="center"/>
                </w:tcPr>
                <w:p>
                  <w:pPr>
                    <w:pStyle w:val="35"/>
                    <w:bidi w:val="0"/>
                    <w:spacing w:line="240" w:lineRule="auto"/>
                    <w:rPr>
                      <w:rFonts w:hint="default" w:ascii="Times New Roman" w:hAnsi="Times New Roman" w:eastAsia="宋体" w:cs="Times New Roman"/>
                      <w:color w:val="auto"/>
                      <w:szCs w:val="21"/>
                    </w:rPr>
                  </w:pPr>
                  <w:r>
                    <w:rPr>
                      <w:rFonts w:hint="default"/>
                      <w:color w:val="auto"/>
                    </w:rPr>
                    <w:t>生活垃圾由垃圾箱集中收集后定期清运至</w:t>
                  </w:r>
                  <w:r>
                    <w:rPr>
                      <w:rFonts w:hint="eastAsia"/>
                      <w:color w:val="auto"/>
                      <w:lang w:eastAsia="zh-CN"/>
                    </w:rPr>
                    <w:t>呼图壁县生活垃圾填埋场</w:t>
                  </w:r>
                  <w:r>
                    <w:rPr>
                      <w:rFonts w:hint="default"/>
                      <w:color w:val="auto"/>
                    </w:rPr>
                    <w:t>。建筑垃圾集中收集在垃圾箱后送至当地建筑垃圾填埋场。钻井期产生的水基钻井岩屑暂存于水基钻井岩屑方罐</w:t>
                  </w:r>
                  <w:r>
                    <w:rPr>
                      <w:rFonts w:hint="default"/>
                      <w:color w:val="auto"/>
                      <w:lang w:val="en-US" w:eastAsia="zh-CN"/>
                    </w:rPr>
                    <w:t>后</w:t>
                  </w:r>
                  <w:r>
                    <w:rPr>
                      <w:rFonts w:hint="default"/>
                      <w:color w:val="auto"/>
                    </w:rPr>
                    <w:t>委托岩屑处置单位处置；</w:t>
                  </w:r>
                  <w:r>
                    <w:rPr>
                      <w:rFonts w:hint="eastAsia"/>
                      <w:color w:val="auto"/>
                      <w:lang w:val="en-US" w:eastAsia="zh-CN"/>
                    </w:rPr>
                    <w:t>油</w:t>
                  </w:r>
                  <w:r>
                    <w:rPr>
                      <w:rFonts w:hint="default"/>
                      <w:color w:val="auto"/>
                    </w:rPr>
                    <w:t>基钻井岩屑暂存于</w:t>
                  </w:r>
                  <w:r>
                    <w:rPr>
                      <w:rFonts w:hint="eastAsia"/>
                      <w:color w:val="auto"/>
                      <w:lang w:val="en-US" w:eastAsia="zh-CN"/>
                    </w:rPr>
                    <w:t>油</w:t>
                  </w:r>
                  <w:r>
                    <w:rPr>
                      <w:rFonts w:hint="default"/>
                      <w:color w:val="auto"/>
                    </w:rPr>
                    <w:t>基钻井岩屑方罐</w:t>
                  </w:r>
                  <w:r>
                    <w:rPr>
                      <w:rFonts w:hint="default"/>
                      <w:color w:val="auto"/>
                      <w:lang w:val="en-US" w:eastAsia="zh-CN"/>
                    </w:rPr>
                    <w:t>后</w:t>
                  </w:r>
                  <w:r>
                    <w:rPr>
                      <w:rFonts w:hint="default"/>
                      <w:color w:val="auto"/>
                    </w:rPr>
                    <w:t>委托</w:t>
                  </w:r>
                  <w:r>
                    <w:rPr>
                      <w:rFonts w:hint="eastAsia"/>
                      <w:color w:val="auto"/>
                      <w:lang w:val="en-US" w:eastAsia="zh-CN"/>
                    </w:rPr>
                    <w:t>具有相应危废资质单位清运、处置</w:t>
                  </w:r>
                  <w:r>
                    <w:rPr>
                      <w:rFonts w:hint="default"/>
                      <w:color w:val="auto"/>
                    </w:rPr>
                    <w:t>；沾油废防渗材料、废润滑油和废润滑油桶</w:t>
                  </w:r>
                  <w:r>
                    <w:rPr>
                      <w:rFonts w:hint="default"/>
                      <w:color w:val="auto"/>
                      <w:lang w:val="en-US" w:eastAsia="zh-CN"/>
                    </w:rPr>
                    <w:t>等危险废物</w:t>
                  </w:r>
                  <w:r>
                    <w:rPr>
                      <w:rFonts w:hint="default"/>
                      <w:color w:val="auto"/>
                    </w:rPr>
                    <w:t>分区暂存在井场的危险废物贮存点，</w:t>
                  </w:r>
                  <w:r>
                    <w:rPr>
                      <w:rFonts w:hint="default"/>
                      <w:color w:val="auto"/>
                      <w:lang w:val="en-US" w:eastAsia="zh-CN"/>
                    </w:rPr>
                    <w:t>及时委托</w:t>
                  </w:r>
                  <w:r>
                    <w:rPr>
                      <w:rFonts w:hint="default"/>
                      <w:color w:val="auto"/>
                    </w:rPr>
                    <w:t>具有相应危废处置资质的单位处置</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72" w:type="pct"/>
                  <w:tcMar>
                    <w:left w:w="0" w:type="dxa"/>
                    <w:right w:w="0" w:type="dxa"/>
                  </w:tcMar>
                  <w:vAlign w:val="center"/>
                </w:tcPr>
                <w:p>
                  <w:pPr>
                    <w:pStyle w:val="35"/>
                    <w:bidi w:val="0"/>
                    <w:spacing w:line="240" w:lineRule="auto"/>
                    <w:rPr>
                      <w:rFonts w:hint="default" w:ascii="Times New Roman" w:hAnsi="Times New Roman" w:eastAsia="宋体" w:cs="Times New Roman"/>
                      <w:color w:val="auto"/>
                      <w:szCs w:val="21"/>
                    </w:rPr>
                  </w:pPr>
                  <w:r>
                    <w:rPr>
                      <w:rFonts w:hint="default"/>
                      <w:color w:val="auto"/>
                    </w:rPr>
                    <w:t>5</w:t>
                  </w:r>
                </w:p>
              </w:tc>
              <w:tc>
                <w:tcPr>
                  <w:tcW w:w="663" w:type="pct"/>
                  <w:tcMar>
                    <w:left w:w="0" w:type="dxa"/>
                    <w:right w:w="0" w:type="dxa"/>
                  </w:tcMar>
                  <w:vAlign w:val="center"/>
                </w:tcPr>
                <w:p>
                  <w:pPr>
                    <w:pStyle w:val="35"/>
                    <w:bidi w:val="0"/>
                    <w:spacing w:line="240" w:lineRule="auto"/>
                    <w:rPr>
                      <w:rFonts w:hint="default" w:ascii="Times New Roman" w:hAnsi="Times New Roman" w:eastAsia="宋体" w:cs="Times New Roman"/>
                      <w:color w:val="auto"/>
                      <w:szCs w:val="21"/>
                    </w:rPr>
                  </w:pPr>
                  <w:r>
                    <w:rPr>
                      <w:rFonts w:hint="default"/>
                      <w:color w:val="auto"/>
                    </w:rPr>
                    <w:t>生态环境</w:t>
                  </w:r>
                </w:p>
              </w:tc>
              <w:tc>
                <w:tcPr>
                  <w:tcW w:w="3963" w:type="pct"/>
                  <w:tcMar>
                    <w:left w:w="0" w:type="dxa"/>
                    <w:right w:w="0" w:type="dxa"/>
                  </w:tcMar>
                  <w:vAlign w:val="center"/>
                </w:tcPr>
                <w:p>
                  <w:pPr>
                    <w:pStyle w:val="35"/>
                    <w:bidi w:val="0"/>
                    <w:spacing w:line="240" w:lineRule="auto"/>
                    <w:rPr>
                      <w:rFonts w:hint="default" w:ascii="Times New Roman" w:hAnsi="Times New Roman" w:eastAsia="宋体" w:cs="Times New Roman"/>
                      <w:color w:val="auto"/>
                      <w:szCs w:val="21"/>
                      <w:lang w:val="en-US" w:eastAsia="zh-CN"/>
                    </w:rPr>
                  </w:pPr>
                  <w:r>
                    <w:rPr>
                      <w:rFonts w:hint="default"/>
                      <w:color w:val="auto"/>
                      <w:lang w:val="en-US" w:eastAsia="zh-CN"/>
                    </w:rPr>
                    <w:t>严格控制占地</w:t>
                  </w:r>
                  <w:r>
                    <w:rPr>
                      <w:rFonts w:hint="default"/>
                      <w:color w:val="auto"/>
                    </w:rPr>
                    <w:t>面积；合理安排施工时间；施工车辆严格按规定路线行驶，严禁随意开道，碾压植被、扰动土壤，严禁破坏植被、捕杀野生动物；施工结束后应对临时占地进行清理、平整，</w:t>
                  </w:r>
                  <w:r>
                    <w:rPr>
                      <w:rFonts w:hint="eastAsia"/>
                      <w:color w:val="auto"/>
                      <w:lang w:val="en-US" w:eastAsia="zh-CN"/>
                    </w:rPr>
                    <w:t>创造</w:t>
                  </w:r>
                  <w:r>
                    <w:rPr>
                      <w:rFonts w:hint="default"/>
                      <w:color w:val="auto"/>
                    </w:rPr>
                    <w:t>植被恢复</w:t>
                  </w:r>
                  <w:r>
                    <w:rPr>
                      <w:rFonts w:hint="eastAsia"/>
                      <w:color w:val="auto"/>
                      <w:lang w:val="en-US" w:eastAsia="zh-CN"/>
                    </w:rPr>
                    <w:t>条件</w:t>
                  </w:r>
                  <w:r>
                    <w:rPr>
                      <w:rFonts w:hint="default"/>
                      <w:color w:val="auto"/>
                    </w:rPr>
                    <w:t>；</w:t>
                  </w:r>
                  <w:r>
                    <w:rPr>
                      <w:rFonts w:hint="eastAsia"/>
                      <w:color w:val="auto"/>
                      <w:lang w:val="en-US" w:eastAsia="zh-CN"/>
                    </w:rPr>
                    <w:t>开展土地复垦；施工前办理征地和植被补偿手续</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72" w:type="pct"/>
                  <w:tcMar>
                    <w:left w:w="0" w:type="dxa"/>
                    <w:right w:w="0" w:type="dxa"/>
                  </w:tcMar>
                  <w:vAlign w:val="center"/>
                </w:tcPr>
                <w:p>
                  <w:pPr>
                    <w:pStyle w:val="35"/>
                    <w:bidi w:val="0"/>
                    <w:spacing w:line="240" w:lineRule="auto"/>
                    <w:rPr>
                      <w:rFonts w:hint="default" w:ascii="Times New Roman" w:hAnsi="Times New Roman" w:eastAsia="宋体" w:cs="Times New Roman"/>
                      <w:color w:val="auto"/>
                      <w:szCs w:val="21"/>
                    </w:rPr>
                  </w:pPr>
                  <w:r>
                    <w:rPr>
                      <w:rFonts w:hint="default"/>
                      <w:color w:val="auto"/>
                    </w:rPr>
                    <w:t>6</w:t>
                  </w:r>
                </w:p>
              </w:tc>
              <w:tc>
                <w:tcPr>
                  <w:tcW w:w="663" w:type="pct"/>
                  <w:tcMar>
                    <w:left w:w="0" w:type="dxa"/>
                    <w:right w:w="0" w:type="dxa"/>
                  </w:tcMar>
                  <w:vAlign w:val="center"/>
                </w:tcPr>
                <w:p>
                  <w:pPr>
                    <w:pStyle w:val="35"/>
                    <w:bidi w:val="0"/>
                    <w:spacing w:line="240" w:lineRule="auto"/>
                    <w:rPr>
                      <w:rFonts w:hint="default" w:ascii="Times New Roman" w:hAnsi="Times New Roman" w:eastAsia="宋体" w:cs="Times New Roman"/>
                      <w:color w:val="auto"/>
                      <w:szCs w:val="21"/>
                    </w:rPr>
                  </w:pPr>
                  <w:r>
                    <w:rPr>
                      <w:rFonts w:hint="default"/>
                      <w:color w:val="auto"/>
                    </w:rPr>
                    <w:t>环境管理</w:t>
                  </w:r>
                </w:p>
              </w:tc>
              <w:tc>
                <w:tcPr>
                  <w:tcW w:w="3963" w:type="pct"/>
                  <w:tcMar>
                    <w:left w:w="0" w:type="dxa"/>
                    <w:right w:w="0" w:type="dxa"/>
                  </w:tcMar>
                  <w:vAlign w:val="center"/>
                </w:tcPr>
                <w:p>
                  <w:pPr>
                    <w:pStyle w:val="35"/>
                    <w:bidi w:val="0"/>
                    <w:spacing w:line="240" w:lineRule="auto"/>
                    <w:rPr>
                      <w:rFonts w:hint="default" w:ascii="Times New Roman" w:hAnsi="Times New Roman" w:eastAsia="宋体" w:cs="Times New Roman"/>
                      <w:color w:val="auto"/>
                      <w:szCs w:val="21"/>
                    </w:rPr>
                  </w:pPr>
                  <w:r>
                    <w:rPr>
                      <w:rFonts w:hint="default"/>
                      <w:color w:val="auto"/>
                    </w:rPr>
                    <w:t>施工单位应建立环境保护档案，保存施工前后项目区的影像资料，使施工全过程各类污染物产生、去向和各个污染防治措施及实施情况均记录在案。建设单位要求施工单位在钻井</w:t>
                  </w:r>
                  <w:r>
                    <w:rPr>
                      <w:rFonts w:hint="eastAsia"/>
                      <w:color w:val="auto"/>
                      <w:lang w:eastAsia="zh-CN"/>
                    </w:rPr>
                    <w:t>、</w:t>
                  </w:r>
                  <w:r>
                    <w:rPr>
                      <w:rFonts w:hint="eastAsia"/>
                      <w:color w:val="auto"/>
                      <w:lang w:val="en-US" w:eastAsia="zh-CN"/>
                    </w:rPr>
                    <w:t>试油</w:t>
                  </w:r>
                  <w:r>
                    <w:rPr>
                      <w:rFonts w:hint="default"/>
                      <w:color w:val="auto"/>
                    </w:rPr>
                    <w:t>工程开工前进行环保自查，建设单位对施工单位钻井期间进行环保日常检查并做好记录；完工交井前，建设单位主管部门现场验收，合格后方可记录为完工，做到工完料净场地清，并做好记录</w:t>
                  </w:r>
                </w:p>
              </w:tc>
            </w:tr>
          </w:tbl>
          <w:p>
            <w:pPr>
              <w:spacing w:line="520" w:lineRule="exact"/>
              <w:ind w:firstLine="480" w:firstLineChars="200"/>
              <w:rPr>
                <w:bCs/>
                <w:color w:val="auto"/>
                <w:kern w:val="0"/>
                <w:sz w:val="24"/>
              </w:rPr>
            </w:pPr>
            <w:r>
              <w:rPr>
                <w:bCs/>
                <w:color w:val="auto"/>
                <w:kern w:val="0"/>
                <w:sz w:val="24"/>
              </w:rPr>
              <w:t>（2）环境监测计划</w:t>
            </w:r>
          </w:p>
          <w:p>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bCs/>
                <w:color w:val="auto"/>
                <w:kern w:val="0"/>
                <w:sz w:val="24"/>
              </w:rPr>
            </w:pPr>
            <w:r>
              <w:rPr>
                <w:rFonts w:hint="eastAsia"/>
                <w:bCs/>
                <w:color w:val="auto"/>
                <w:kern w:val="0"/>
                <w:sz w:val="24"/>
              </w:rPr>
              <w:t>本</w:t>
            </w:r>
            <w:r>
              <w:rPr>
                <w:bCs/>
                <w:color w:val="auto"/>
                <w:kern w:val="0"/>
                <w:sz w:val="24"/>
              </w:rPr>
              <w:t>项目</w:t>
            </w:r>
            <w:r>
              <w:rPr>
                <w:rFonts w:hint="eastAsia"/>
                <w:bCs/>
                <w:color w:val="auto"/>
                <w:kern w:val="0"/>
                <w:sz w:val="24"/>
                <w:lang w:val="en-US" w:eastAsia="zh-CN"/>
              </w:rPr>
              <w:t>钻试</w:t>
            </w:r>
            <w:r>
              <w:rPr>
                <w:bCs/>
                <w:color w:val="auto"/>
                <w:kern w:val="0"/>
                <w:sz w:val="24"/>
              </w:rPr>
              <w:t>结束后，大气及噪声影响消失，无废水、固废</w:t>
            </w:r>
            <w:r>
              <w:rPr>
                <w:rFonts w:hint="eastAsia"/>
                <w:bCs/>
                <w:color w:val="auto"/>
                <w:kern w:val="0"/>
                <w:sz w:val="24"/>
                <w:lang w:val="en-US" w:eastAsia="zh-CN"/>
              </w:rPr>
              <w:t>继续</w:t>
            </w:r>
            <w:r>
              <w:rPr>
                <w:bCs/>
                <w:color w:val="auto"/>
                <w:kern w:val="0"/>
                <w:sz w:val="24"/>
              </w:rPr>
              <w:t>产生</w:t>
            </w:r>
            <w:r>
              <w:rPr>
                <w:rFonts w:hint="eastAsia"/>
                <w:bCs/>
                <w:color w:val="auto"/>
                <w:kern w:val="0"/>
                <w:sz w:val="24"/>
                <w:lang w:eastAsia="zh-CN"/>
              </w:rPr>
              <w:t>，</w:t>
            </w:r>
            <w:r>
              <w:rPr>
                <w:rFonts w:hint="eastAsia"/>
                <w:bCs/>
                <w:color w:val="auto"/>
                <w:kern w:val="0"/>
                <w:sz w:val="24"/>
                <w:lang w:val="en-US" w:eastAsia="zh-CN"/>
              </w:rPr>
              <w:t>施工结束对废水、固废清运处置；项目无运营期，</w:t>
            </w:r>
            <w:r>
              <w:rPr>
                <w:bCs/>
                <w:color w:val="auto"/>
                <w:kern w:val="0"/>
                <w:sz w:val="24"/>
              </w:rPr>
              <w:t>因此不制定监测计划。</w:t>
            </w:r>
          </w:p>
          <w:p>
            <w:pPr>
              <w:spacing w:line="520" w:lineRule="exact"/>
              <w:ind w:firstLine="480" w:firstLineChars="200"/>
              <w:rPr>
                <w:bCs/>
                <w:color w:val="auto"/>
                <w:kern w:val="0"/>
                <w:sz w:val="24"/>
              </w:rPr>
            </w:pPr>
            <w:r>
              <w:rPr>
                <w:rFonts w:hint="eastAsia"/>
                <w:bCs/>
                <w:color w:val="auto"/>
                <w:kern w:val="0"/>
                <w:sz w:val="24"/>
                <w:lang w:eastAsia="zh-CN"/>
              </w:rPr>
              <w:t>本</w:t>
            </w:r>
            <w:r>
              <w:rPr>
                <w:bCs/>
                <w:color w:val="auto"/>
                <w:kern w:val="0"/>
                <w:sz w:val="24"/>
              </w:rPr>
              <w:t>项目对环境的影响主要是生态影响，根据《环境影响评价技术导则 生态影响》（HJ 19</w:t>
            </w:r>
            <w:r>
              <w:rPr>
                <w:rFonts w:hint="eastAsia"/>
                <w:bCs/>
                <w:color w:val="auto"/>
                <w:kern w:val="0"/>
                <w:sz w:val="24"/>
              </w:rPr>
              <w:t>-</w:t>
            </w:r>
            <w:r>
              <w:rPr>
                <w:bCs/>
                <w:color w:val="auto"/>
                <w:kern w:val="0"/>
                <w:sz w:val="24"/>
              </w:rPr>
              <w:t>2022），制定生态监测计划见</w:t>
            </w:r>
            <w:r>
              <w:rPr>
                <w:rFonts w:hint="eastAsia"/>
                <w:bCs/>
                <w:color w:val="auto"/>
                <w:kern w:val="0"/>
                <w:sz w:val="24"/>
              </w:rPr>
              <w:t>表</w:t>
            </w:r>
            <w:r>
              <w:rPr>
                <w:rFonts w:hint="eastAsia"/>
                <w:bCs/>
                <w:color w:val="auto"/>
                <w:kern w:val="0"/>
                <w:sz w:val="24"/>
                <w:lang w:val="en-US" w:eastAsia="zh-CN"/>
              </w:rPr>
              <w:t>5-6</w:t>
            </w:r>
            <w:r>
              <w:rPr>
                <w:bCs/>
                <w:color w:val="auto"/>
                <w:kern w:val="0"/>
                <w:sz w:val="24"/>
              </w:rPr>
              <w:t>。</w:t>
            </w:r>
          </w:p>
          <w:p>
            <w:pPr>
              <w:pStyle w:val="56"/>
              <w:bidi w:val="0"/>
              <w:rPr>
                <w:rFonts w:hint="eastAsia"/>
                <w:color w:val="auto"/>
              </w:rPr>
            </w:pPr>
            <w:r>
              <w:rPr>
                <w:rFonts w:hint="eastAsia"/>
                <w:color w:val="auto"/>
              </w:rPr>
              <w:t>表5-</w:t>
            </w:r>
            <w:r>
              <w:rPr>
                <w:rFonts w:hint="eastAsia"/>
                <w:color w:val="auto"/>
                <w:lang w:val="en-US" w:eastAsia="zh-CN"/>
              </w:rPr>
              <w:t>6</w:t>
            </w:r>
            <w:r>
              <w:rPr>
                <w:rFonts w:hint="eastAsia"/>
                <w:color w:val="auto"/>
              </w:rPr>
              <w:t xml:space="preserve">    环境监测计划</w:t>
            </w:r>
          </w:p>
          <w:tbl>
            <w:tblPr>
              <w:tblStyle w:val="2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17"/>
              <w:gridCol w:w="2298"/>
              <w:gridCol w:w="2458"/>
              <w:gridCol w:w="189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88" w:type="dxa"/>
                  <w:noWrap w:val="0"/>
                  <w:vAlign w:val="center"/>
                </w:tcPr>
                <w:p>
                  <w:pPr>
                    <w:pStyle w:val="35"/>
                    <w:bidi w:val="0"/>
                    <w:rPr>
                      <w:rFonts w:hint="eastAsia"/>
                      <w:color w:val="auto"/>
                      <w:szCs w:val="21"/>
                    </w:rPr>
                  </w:pPr>
                  <w:r>
                    <w:rPr>
                      <w:rFonts w:hint="eastAsia"/>
                      <w:color w:val="auto"/>
                    </w:rPr>
                    <w:t>监测对象</w:t>
                  </w:r>
                </w:p>
              </w:tc>
              <w:tc>
                <w:tcPr>
                  <w:tcW w:w="2243" w:type="dxa"/>
                  <w:noWrap w:val="0"/>
                  <w:vAlign w:val="center"/>
                </w:tcPr>
                <w:p>
                  <w:pPr>
                    <w:pStyle w:val="35"/>
                    <w:bidi w:val="0"/>
                    <w:rPr>
                      <w:rFonts w:hint="eastAsia"/>
                      <w:color w:val="auto"/>
                      <w:szCs w:val="21"/>
                    </w:rPr>
                  </w:pPr>
                  <w:r>
                    <w:rPr>
                      <w:rFonts w:hint="eastAsia"/>
                      <w:color w:val="auto"/>
                    </w:rPr>
                    <w:t>监测范围</w:t>
                  </w:r>
                </w:p>
              </w:tc>
              <w:tc>
                <w:tcPr>
                  <w:tcW w:w="2399" w:type="dxa"/>
                  <w:noWrap w:val="0"/>
                  <w:vAlign w:val="center"/>
                </w:tcPr>
                <w:p>
                  <w:pPr>
                    <w:pStyle w:val="35"/>
                    <w:bidi w:val="0"/>
                    <w:rPr>
                      <w:rFonts w:hint="eastAsia"/>
                      <w:color w:val="auto"/>
                      <w:szCs w:val="21"/>
                    </w:rPr>
                  </w:pPr>
                  <w:r>
                    <w:rPr>
                      <w:rFonts w:hint="eastAsia"/>
                      <w:color w:val="auto"/>
                    </w:rPr>
                    <w:t>监测内容</w:t>
                  </w:r>
                </w:p>
              </w:tc>
              <w:tc>
                <w:tcPr>
                  <w:tcW w:w="1850" w:type="dxa"/>
                  <w:noWrap w:val="0"/>
                  <w:vAlign w:val="center"/>
                </w:tcPr>
                <w:p>
                  <w:pPr>
                    <w:pStyle w:val="35"/>
                    <w:bidi w:val="0"/>
                    <w:rPr>
                      <w:rFonts w:hint="eastAsia"/>
                      <w:color w:val="auto"/>
                      <w:szCs w:val="21"/>
                    </w:rPr>
                  </w:pPr>
                  <w:r>
                    <w:rPr>
                      <w:rFonts w:hint="eastAsia"/>
                      <w:color w:val="auto"/>
                    </w:rPr>
                    <w:t>监测频次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88" w:type="dxa"/>
                  <w:noWrap w:val="0"/>
                  <w:vAlign w:val="center"/>
                </w:tcPr>
                <w:p>
                  <w:pPr>
                    <w:pStyle w:val="35"/>
                    <w:bidi w:val="0"/>
                    <w:rPr>
                      <w:rFonts w:hint="eastAsia"/>
                      <w:color w:val="auto"/>
                      <w:szCs w:val="21"/>
                    </w:rPr>
                  </w:pPr>
                  <w:r>
                    <w:rPr>
                      <w:rFonts w:hint="eastAsia"/>
                      <w:color w:val="auto"/>
                    </w:rPr>
                    <w:t>生态</w:t>
                  </w:r>
                </w:p>
              </w:tc>
              <w:tc>
                <w:tcPr>
                  <w:tcW w:w="2243" w:type="dxa"/>
                  <w:noWrap w:val="0"/>
                  <w:vAlign w:val="center"/>
                </w:tcPr>
                <w:p>
                  <w:pPr>
                    <w:pStyle w:val="67"/>
                    <w:bidi w:val="0"/>
                    <w:rPr>
                      <w:rFonts w:hint="eastAsia"/>
                      <w:color w:val="auto"/>
                      <w:szCs w:val="21"/>
                    </w:rPr>
                  </w:pPr>
                  <w:r>
                    <w:rPr>
                      <w:rFonts w:hint="eastAsia"/>
                    </w:rPr>
                    <w:t>井场、生活营地及道路扰动范围</w:t>
                  </w:r>
                </w:p>
              </w:tc>
              <w:tc>
                <w:tcPr>
                  <w:tcW w:w="2399" w:type="dxa"/>
                  <w:noWrap w:val="0"/>
                  <w:vAlign w:val="center"/>
                </w:tcPr>
                <w:p>
                  <w:pPr>
                    <w:pStyle w:val="67"/>
                    <w:bidi w:val="0"/>
                    <w:rPr>
                      <w:rFonts w:hint="default" w:eastAsia="宋体"/>
                      <w:color w:val="auto"/>
                      <w:szCs w:val="21"/>
                      <w:lang w:val="en-US" w:eastAsia="zh-CN"/>
                    </w:rPr>
                  </w:pPr>
                  <w:r>
                    <w:rPr>
                      <w:rFonts w:hint="eastAsia"/>
                      <w:lang w:val="en-US" w:eastAsia="zh-CN"/>
                    </w:rPr>
                    <w:t>临时占地</w:t>
                  </w:r>
                  <w:r>
                    <w:rPr>
                      <w:rFonts w:hint="eastAsia"/>
                    </w:rPr>
                    <w:t>植被恢复</w:t>
                  </w:r>
                  <w:r>
                    <w:rPr>
                      <w:rFonts w:hint="eastAsia"/>
                      <w:lang w:val="en-US" w:eastAsia="zh-CN"/>
                    </w:rPr>
                    <w:t>情况</w:t>
                  </w:r>
                </w:p>
              </w:tc>
              <w:tc>
                <w:tcPr>
                  <w:tcW w:w="1850" w:type="dxa"/>
                  <w:noWrap w:val="0"/>
                  <w:vAlign w:val="center"/>
                </w:tcPr>
                <w:p>
                  <w:pPr>
                    <w:pStyle w:val="67"/>
                    <w:bidi w:val="0"/>
                    <w:rPr>
                      <w:rFonts w:hint="eastAsia"/>
                      <w:color w:val="auto"/>
                      <w:szCs w:val="21"/>
                    </w:rPr>
                  </w:pPr>
                  <w:r>
                    <w:rPr>
                      <w:rFonts w:hint="eastAsia"/>
                    </w:rPr>
                    <w:t>项目验收时期</w:t>
                  </w:r>
                </w:p>
              </w:tc>
            </w:tr>
          </w:tbl>
          <w:p>
            <w:pPr>
              <w:pStyle w:val="54"/>
              <w:numPr>
                <w:ilvl w:val="0"/>
                <w:numId w:val="9"/>
              </w:numPr>
              <w:bidi w:val="0"/>
              <w:ind w:left="9" w:leftChars="0" w:firstLineChars="0"/>
              <w:rPr>
                <w:rFonts w:hint="default"/>
                <w:color w:val="auto"/>
              </w:rPr>
            </w:pPr>
            <w:r>
              <w:rPr>
                <w:rFonts w:hint="default"/>
                <w:color w:val="auto"/>
              </w:rPr>
              <w:t>环保标识</w:t>
            </w:r>
          </w:p>
          <w:bookmarkEnd w:id="147"/>
          <w:p>
            <w:pPr>
              <w:pStyle w:val="10"/>
              <w:bidi w:val="0"/>
              <w:rPr>
                <w:rFonts w:hint="default"/>
                <w:color w:val="auto"/>
              </w:rPr>
            </w:pPr>
            <w:r>
              <w:rPr>
                <w:rFonts w:hint="eastAsia"/>
                <w:color w:val="auto"/>
                <w:lang w:val="en-US" w:eastAsia="zh-CN"/>
              </w:rPr>
              <w:t>项目危废贮存点图形标志设置要求见表5-7</w:t>
            </w:r>
            <w:r>
              <w:rPr>
                <w:rFonts w:hint="default"/>
                <w:color w:val="auto"/>
              </w:rPr>
              <w:t>。</w:t>
            </w:r>
          </w:p>
          <w:p>
            <w:pPr>
              <w:pStyle w:val="56"/>
              <w:bidi w:val="0"/>
              <w:rPr>
                <w:rFonts w:hint="default"/>
                <w:color w:val="auto"/>
                <w:lang w:val="en-US" w:eastAsia="zh-CN"/>
              </w:rPr>
            </w:pPr>
            <w:r>
              <w:rPr>
                <w:rFonts w:hint="default"/>
                <w:color w:val="auto"/>
              </w:rPr>
              <w:t>表</w:t>
            </w:r>
            <w:r>
              <w:rPr>
                <w:rFonts w:hint="default"/>
                <w:color w:val="auto"/>
                <w:lang w:val="en-US" w:eastAsia="zh-CN"/>
              </w:rPr>
              <w:t>5-</w:t>
            </w:r>
            <w:r>
              <w:rPr>
                <w:rFonts w:hint="eastAsia"/>
                <w:color w:val="auto"/>
                <w:lang w:val="en-US" w:eastAsia="zh-CN"/>
              </w:rPr>
              <w:t>7</w:t>
            </w:r>
            <w:r>
              <w:rPr>
                <w:rFonts w:hint="default"/>
                <w:color w:val="auto"/>
              </w:rPr>
              <w:t xml:space="preserve">  </w:t>
            </w:r>
            <w:r>
              <w:rPr>
                <w:rFonts w:hint="eastAsia"/>
                <w:color w:val="auto"/>
                <w:lang w:val="en-US" w:eastAsia="zh-CN"/>
              </w:rPr>
              <w:t>井场环保标志牌</w:t>
            </w:r>
          </w:p>
          <w:tbl>
            <w:tblPr>
              <w:tblStyle w:val="27"/>
              <w:tblW w:w="4996"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3370"/>
              <w:gridCol w:w="3426"/>
              <w:gridCol w:w="1068"/>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36" w:hRule="atLeast"/>
                <w:tblHeader/>
                <w:jc w:val="center"/>
              </w:trPr>
              <w:tc>
                <w:tcPr>
                  <w:tcW w:w="2154" w:type="pct"/>
                  <w:tcBorders>
                    <w:tl2br w:val="nil"/>
                    <w:tr2bl w:val="nil"/>
                  </w:tcBorders>
                  <w:vAlign w:val="center"/>
                </w:tcPr>
                <w:p>
                  <w:pPr>
                    <w:pStyle w:val="35"/>
                    <w:bidi w:val="0"/>
                    <w:rPr>
                      <w:rFonts w:hint="default" w:ascii="Times New Roman" w:hAnsi="Times New Roman" w:eastAsia="宋体" w:cs="Times New Roman"/>
                      <w:color w:val="auto"/>
                      <w:szCs w:val="21"/>
                      <w:lang w:val="en-US" w:eastAsia="zh-CN"/>
                    </w:rPr>
                  </w:pPr>
                  <w:r>
                    <w:rPr>
                      <w:rFonts w:hint="eastAsia"/>
                      <w:color w:val="auto"/>
                      <w:lang w:val="en-US" w:eastAsia="zh-CN"/>
                    </w:rPr>
                    <w:t>排放源</w:t>
                  </w:r>
                </w:p>
              </w:tc>
              <w:tc>
                <w:tcPr>
                  <w:tcW w:w="2155" w:type="pct"/>
                  <w:tcBorders>
                    <w:tl2br w:val="nil"/>
                    <w:tr2bl w:val="nil"/>
                  </w:tcBorders>
                  <w:vAlign w:val="center"/>
                </w:tcPr>
                <w:p>
                  <w:pPr>
                    <w:pStyle w:val="35"/>
                    <w:bidi w:val="0"/>
                    <w:rPr>
                      <w:rFonts w:hint="default" w:ascii="Times New Roman" w:hAnsi="Times New Roman" w:eastAsia="宋体" w:cs="Times New Roman"/>
                      <w:color w:val="auto"/>
                      <w:szCs w:val="21"/>
                      <w:lang w:val="en-US" w:eastAsia="zh-CN"/>
                    </w:rPr>
                  </w:pPr>
                  <w:r>
                    <w:rPr>
                      <w:rFonts w:hint="eastAsia"/>
                      <w:color w:val="auto"/>
                      <w:lang w:val="en-US" w:eastAsia="zh-CN"/>
                    </w:rPr>
                    <w:t>图形符号</w:t>
                  </w:r>
                </w:p>
              </w:tc>
              <w:tc>
                <w:tcPr>
                  <w:tcW w:w="690" w:type="pct"/>
                  <w:tcBorders>
                    <w:tl2br w:val="nil"/>
                    <w:tr2bl w:val="nil"/>
                  </w:tcBorders>
                  <w:vAlign w:val="center"/>
                </w:tcPr>
                <w:p>
                  <w:pPr>
                    <w:pStyle w:val="35"/>
                    <w:bidi w:val="0"/>
                    <w:rPr>
                      <w:rFonts w:hint="default" w:ascii="Times New Roman" w:hAnsi="Times New Roman" w:eastAsia="宋体" w:cs="Times New Roman"/>
                      <w:color w:val="auto"/>
                      <w:szCs w:val="21"/>
                      <w:lang w:val="en-US" w:eastAsia="zh-CN"/>
                    </w:rPr>
                  </w:pPr>
                  <w:r>
                    <w:rPr>
                      <w:rFonts w:hint="eastAsia"/>
                      <w:color w:val="auto"/>
                      <w:lang w:val="en-US" w:eastAsia="zh-CN"/>
                    </w:rPr>
                    <w:t>类型</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cantSplit/>
                <w:trHeight w:val="163" w:hRule="atLeast"/>
                <w:jc w:val="center"/>
              </w:trPr>
              <w:tc>
                <w:tcPr>
                  <w:tcW w:w="2154" w:type="pct"/>
                  <w:tcBorders>
                    <w:tl2br w:val="nil"/>
                    <w:tr2bl w:val="nil"/>
                  </w:tcBorders>
                  <w:vAlign w:val="center"/>
                </w:tcPr>
                <w:p>
                  <w:pPr>
                    <w:pStyle w:val="35"/>
                    <w:bidi w:val="0"/>
                    <w:spacing w:line="240" w:lineRule="auto"/>
                    <w:rPr>
                      <w:rFonts w:hint="default" w:ascii="Times New Roman" w:hAnsi="Times New Roman" w:cs="Times New Roman"/>
                      <w:color w:val="auto"/>
                      <w:szCs w:val="21"/>
                    </w:rPr>
                  </w:pPr>
                  <w:r>
                    <w:rPr>
                      <w:rFonts w:hint="default"/>
                      <w:color w:val="auto"/>
                    </w:rPr>
                    <w:drawing>
                      <wp:inline distT="0" distB="0" distL="0" distR="0">
                        <wp:extent cx="1728470" cy="1536700"/>
                        <wp:effectExtent l="0" t="0" r="5080" b="6350"/>
                        <wp:docPr id="195276730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767309" name="图片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728470" cy="1536700"/>
                                </a:xfrm>
                                <a:prstGeom prst="rect">
                                  <a:avLst/>
                                </a:prstGeom>
                                <a:noFill/>
                                <a:ln>
                                  <a:noFill/>
                                </a:ln>
                              </pic:spPr>
                            </pic:pic>
                          </a:graphicData>
                        </a:graphic>
                      </wp:inline>
                    </w:drawing>
                  </w:r>
                </w:p>
              </w:tc>
              <w:tc>
                <w:tcPr>
                  <w:tcW w:w="2155" w:type="pct"/>
                  <w:tcBorders>
                    <w:tl2br w:val="nil"/>
                    <w:tr2bl w:val="nil"/>
                  </w:tcBorders>
                  <w:vAlign w:val="center"/>
                </w:tcPr>
                <w:p>
                  <w:pPr>
                    <w:pStyle w:val="35"/>
                    <w:bidi w:val="0"/>
                    <w:spacing w:line="240" w:lineRule="auto"/>
                    <w:rPr>
                      <w:rFonts w:hint="default" w:ascii="Times New Roman" w:hAnsi="Times New Roman" w:cs="Times New Roman"/>
                      <w:color w:val="auto"/>
                      <w:szCs w:val="21"/>
                    </w:rPr>
                  </w:pPr>
                  <w:r>
                    <w:rPr>
                      <w:rFonts w:hint="default"/>
                      <w:color w:val="auto"/>
                    </w:rPr>
                    <w:drawing>
                      <wp:inline distT="0" distB="0" distL="0" distR="0">
                        <wp:extent cx="2030730" cy="1275080"/>
                        <wp:effectExtent l="0" t="0" r="7620" b="1270"/>
                        <wp:docPr id="2513400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340015" name="图片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030730" cy="1275080"/>
                                </a:xfrm>
                                <a:prstGeom prst="rect">
                                  <a:avLst/>
                                </a:prstGeom>
                                <a:noFill/>
                                <a:ln>
                                  <a:noFill/>
                                </a:ln>
                              </pic:spPr>
                            </pic:pic>
                          </a:graphicData>
                        </a:graphic>
                      </wp:inline>
                    </w:drawing>
                  </w:r>
                </w:p>
              </w:tc>
              <w:tc>
                <w:tcPr>
                  <w:tcW w:w="690" w:type="pct"/>
                  <w:tcBorders>
                    <w:tl2br w:val="nil"/>
                    <w:tr2bl w:val="nil"/>
                  </w:tcBorders>
                  <w:vAlign w:val="center"/>
                </w:tcPr>
                <w:p>
                  <w:pPr>
                    <w:pStyle w:val="35"/>
                    <w:bidi w:val="0"/>
                    <w:spacing w:line="240" w:lineRule="auto"/>
                    <w:rPr>
                      <w:rFonts w:hint="default" w:ascii="Times New Roman" w:hAnsi="Times New Roman" w:eastAsia="宋体" w:cs="Times New Roman"/>
                      <w:color w:val="auto"/>
                      <w:szCs w:val="21"/>
                      <w:lang w:val="en-US" w:eastAsia="zh-CN"/>
                    </w:rPr>
                  </w:pPr>
                  <w:r>
                    <w:rPr>
                      <w:rFonts w:hint="eastAsia"/>
                      <w:color w:val="auto"/>
                      <w:lang w:val="en-US" w:eastAsia="zh-CN"/>
                    </w:rPr>
                    <w:t>危险废物</w:t>
                  </w:r>
                </w:p>
              </w:tc>
            </w:tr>
          </w:tbl>
          <w:p>
            <w:pPr>
              <w:rPr>
                <w:rFonts w:hint="default" w:ascii="Times New Roman" w:hAnsi="Times New Roman"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trPr>
        <w:tc>
          <w:tcPr>
            <w:tcW w:w="261" w:type="pct"/>
            <w:vAlign w:val="center"/>
          </w:tcPr>
          <w:p>
            <w:pPr>
              <w:adjustRightInd w:val="0"/>
              <w:snapToGrid w:val="0"/>
              <w:jc w:val="center"/>
              <w:rPr>
                <w:rFonts w:hint="default" w:ascii="Times New Roman" w:hAnsi="Times New Roman" w:cs="Times New Roman"/>
                <w:color w:val="auto"/>
              </w:rPr>
            </w:pPr>
            <w:r>
              <w:rPr>
                <w:rFonts w:hint="default" w:ascii="Times New Roman" w:hAnsi="Times New Roman" w:cs="Times New Roman"/>
                <w:bCs/>
                <w:color w:val="auto"/>
              </w:rPr>
              <w:t>环保投资</w:t>
            </w:r>
          </w:p>
        </w:tc>
        <w:tc>
          <w:tcPr>
            <w:tcW w:w="5000" w:type="pct"/>
            <w:vAlign w:val="center"/>
          </w:tcPr>
          <w:p>
            <w:pPr>
              <w:snapToGrid w:val="0"/>
              <w:spacing w:line="500" w:lineRule="exact"/>
              <w:ind w:firstLine="480" w:firstLineChars="200"/>
              <w:rPr>
                <w:rFonts w:hint="default" w:ascii="Times New Roman" w:hAnsi="Times New Roman" w:cs="Times New Roman"/>
                <w:color w:val="auto"/>
                <w:highlight w:val="none"/>
              </w:rPr>
            </w:pPr>
            <w:bookmarkStart w:id="148" w:name="_Hlk136795979"/>
            <w:r>
              <w:rPr>
                <w:rFonts w:hint="default" w:ascii="Times New Roman" w:hAnsi="Times New Roman" w:cs="Times New Roman"/>
                <w:color w:val="auto"/>
                <w:highlight w:val="none"/>
                <w:lang w:val="en-US" w:eastAsia="zh-CN"/>
              </w:rPr>
              <w:t>本</w:t>
            </w:r>
            <w:r>
              <w:rPr>
                <w:rFonts w:hint="default" w:ascii="Times New Roman" w:hAnsi="Times New Roman" w:cs="Times New Roman"/>
                <w:color w:val="auto"/>
                <w:highlight w:val="none"/>
              </w:rPr>
              <w:t>项目总投资为</w:t>
            </w:r>
            <w:r>
              <w:rPr>
                <w:rFonts w:hint="eastAsia" w:cs="Times New Roman"/>
                <w:color w:val="auto"/>
                <w:highlight w:val="none"/>
                <w:lang w:val="en-US" w:eastAsia="zh-CN"/>
              </w:rPr>
              <w:t>4000</w:t>
            </w:r>
            <w:r>
              <w:rPr>
                <w:rFonts w:hint="default" w:ascii="Times New Roman" w:hAnsi="Times New Roman" w:cs="Times New Roman"/>
                <w:color w:val="auto"/>
                <w:highlight w:val="none"/>
              </w:rPr>
              <w:t>万元，其中环保投资</w:t>
            </w:r>
            <w:r>
              <w:rPr>
                <w:rFonts w:hint="eastAsia" w:cs="Times New Roman"/>
                <w:color w:val="auto"/>
                <w:highlight w:val="none"/>
                <w:lang w:val="en-US" w:eastAsia="zh-CN"/>
              </w:rPr>
              <w:t>253</w:t>
            </w:r>
            <w:r>
              <w:rPr>
                <w:rFonts w:hint="default" w:ascii="Times New Roman" w:hAnsi="Times New Roman" w:cs="Times New Roman"/>
                <w:color w:val="auto"/>
                <w:highlight w:val="none"/>
              </w:rPr>
              <w:t>万元，占总投资的</w:t>
            </w:r>
            <w:r>
              <w:rPr>
                <w:rFonts w:hint="eastAsia" w:cs="Times New Roman"/>
                <w:color w:val="auto"/>
                <w:highlight w:val="none"/>
                <w:lang w:val="en-US" w:eastAsia="zh-CN"/>
              </w:rPr>
              <w:t>6.33</w:t>
            </w:r>
            <w:r>
              <w:rPr>
                <w:rFonts w:hint="default" w:ascii="Times New Roman" w:hAnsi="Times New Roman" w:cs="Times New Roman"/>
                <w:color w:val="auto"/>
                <w:highlight w:val="none"/>
              </w:rPr>
              <w:t>%。</w:t>
            </w:r>
          </w:p>
          <w:p>
            <w:pPr>
              <w:pStyle w:val="56"/>
              <w:bidi w:val="0"/>
              <w:rPr>
                <w:rFonts w:hint="default"/>
                <w:color w:val="auto"/>
                <w:highlight w:val="none"/>
              </w:rPr>
            </w:pPr>
            <w:r>
              <w:rPr>
                <w:rFonts w:hint="default"/>
                <w:color w:val="auto"/>
                <w:highlight w:val="none"/>
              </w:rPr>
              <w:t>表</w:t>
            </w:r>
            <w:r>
              <w:rPr>
                <w:rFonts w:hint="default"/>
                <w:color w:val="auto"/>
                <w:highlight w:val="none"/>
                <w:lang w:val="en-US" w:eastAsia="zh-CN"/>
              </w:rPr>
              <w:t>5-</w:t>
            </w:r>
            <w:r>
              <w:rPr>
                <w:rFonts w:hint="eastAsia"/>
                <w:color w:val="auto"/>
                <w:highlight w:val="none"/>
                <w:lang w:val="en-US" w:eastAsia="zh-CN"/>
              </w:rPr>
              <w:t>8</w:t>
            </w:r>
            <w:r>
              <w:rPr>
                <w:rFonts w:hint="default"/>
                <w:color w:val="auto"/>
                <w:highlight w:val="none"/>
              </w:rPr>
              <w:t xml:space="preserve">  </w:t>
            </w:r>
            <w:r>
              <w:rPr>
                <w:rFonts w:hint="eastAsia"/>
                <w:color w:val="auto"/>
                <w:highlight w:val="none"/>
                <w:lang w:val="en-US" w:eastAsia="zh-CN"/>
              </w:rPr>
              <w:t>本项目</w:t>
            </w:r>
            <w:r>
              <w:rPr>
                <w:rFonts w:hint="default"/>
                <w:color w:val="auto"/>
                <w:highlight w:val="none"/>
              </w:rPr>
              <w:t>环保投资一览表</w:t>
            </w:r>
          </w:p>
          <w:bookmarkEnd w:id="148"/>
          <w:tbl>
            <w:tblPr>
              <w:tblStyle w:val="2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3" w:type="dxa"/>
                <w:bottom w:w="0" w:type="dxa"/>
                <w:right w:w="23" w:type="dxa"/>
              </w:tblCellMar>
            </w:tblPr>
            <w:tblGrid>
              <w:gridCol w:w="540"/>
              <w:gridCol w:w="6"/>
              <w:gridCol w:w="1381"/>
              <w:gridCol w:w="4931"/>
              <w:gridCol w:w="101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1224" w:type="pct"/>
                  <w:gridSpan w:val="3"/>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工程名称</w:t>
                  </w:r>
                </w:p>
              </w:tc>
              <w:tc>
                <w:tcPr>
                  <w:tcW w:w="3132" w:type="pct"/>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拟采取的环保措施</w:t>
                  </w:r>
                </w:p>
              </w:tc>
              <w:tc>
                <w:tcPr>
                  <w:tcW w:w="643" w:type="pct"/>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环保投资</w:t>
                  </w:r>
                </w:p>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（万元）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343" w:type="pct"/>
                  <w:vMerge w:val="restart"/>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bookmarkStart w:id="149" w:name="_Hlk180059680"/>
                  <w:bookmarkStart w:id="150" w:name="_Hlk186826244"/>
                  <w:r>
                    <w:rPr>
                      <w:rFonts w:hint="default" w:ascii="Times New Roman" w:hAnsi="Times New Roman" w:cs="Times New Roman"/>
                      <w:color w:val="auto"/>
                      <w:sz w:val="21"/>
                      <w:szCs w:val="21"/>
                      <w:highlight w:val="none"/>
                    </w:rPr>
                    <w:t>废气</w:t>
                  </w:r>
                </w:p>
              </w:tc>
              <w:tc>
                <w:tcPr>
                  <w:tcW w:w="880" w:type="pct"/>
                  <w:gridSpan w:val="2"/>
                  <w:tcBorders>
                    <w:tl2br w:val="nil"/>
                    <w:tr2bl w:val="nil"/>
                  </w:tcBorders>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试油伴生气</w:t>
                  </w:r>
                </w:p>
              </w:tc>
              <w:tc>
                <w:tcPr>
                  <w:tcW w:w="3132" w:type="pct"/>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自动点火装置、放喷管线、放喷罐，伴生</w:t>
                  </w:r>
                  <w:r>
                    <w:rPr>
                      <w:rFonts w:hint="default" w:ascii="Times New Roman" w:hAnsi="Times New Roman" w:cs="Times New Roman"/>
                      <w:color w:val="auto"/>
                      <w:sz w:val="21"/>
                      <w:szCs w:val="21"/>
                      <w:highlight w:val="none"/>
                    </w:rPr>
                    <w:t>气</w:t>
                  </w:r>
                  <w:r>
                    <w:rPr>
                      <w:rFonts w:hint="eastAsia" w:cs="Times New Roman"/>
                      <w:color w:val="auto"/>
                      <w:sz w:val="21"/>
                      <w:szCs w:val="21"/>
                      <w:highlight w:val="none"/>
                      <w:lang w:val="en-US" w:eastAsia="zh-CN"/>
                    </w:rPr>
                    <w:t>经点燃充分燃烧后</w:t>
                  </w:r>
                  <w:r>
                    <w:rPr>
                      <w:rFonts w:hint="default" w:ascii="Times New Roman" w:hAnsi="Times New Roman" w:cs="Times New Roman"/>
                      <w:color w:val="auto"/>
                      <w:sz w:val="21"/>
                      <w:szCs w:val="21"/>
                      <w:highlight w:val="none"/>
                    </w:rPr>
                    <w:t>排放</w:t>
                  </w:r>
                </w:p>
              </w:tc>
              <w:tc>
                <w:tcPr>
                  <w:tcW w:w="643" w:type="pct"/>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343" w:type="pct"/>
                  <w:vMerge w:val="continue"/>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880" w:type="pct"/>
                  <w:gridSpan w:val="2"/>
                  <w:tcBorders>
                    <w:tl2br w:val="nil"/>
                    <w:tr2bl w:val="nil"/>
                  </w:tcBorders>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施工扬尘</w:t>
                  </w:r>
                </w:p>
              </w:tc>
              <w:tc>
                <w:tcPr>
                  <w:tcW w:w="3132" w:type="pct"/>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采取井场</w:t>
                  </w:r>
                  <w:bookmarkStart w:id="151" w:name="OLE_LINK64"/>
                  <w:r>
                    <w:rPr>
                      <w:rFonts w:hint="default" w:ascii="Times New Roman" w:hAnsi="Times New Roman" w:cs="Times New Roman"/>
                      <w:color w:val="auto"/>
                      <w:sz w:val="21"/>
                      <w:szCs w:val="21"/>
                      <w:highlight w:val="none"/>
                    </w:rPr>
                    <w:t>洒水抑尘</w:t>
                  </w:r>
                  <w:bookmarkEnd w:id="151"/>
                  <w:r>
                    <w:rPr>
                      <w:rFonts w:hint="default" w:ascii="Times New Roman" w:hAnsi="Times New Roman" w:cs="Times New Roman"/>
                      <w:color w:val="auto"/>
                      <w:sz w:val="21"/>
                      <w:szCs w:val="21"/>
                      <w:highlight w:val="none"/>
                    </w:rPr>
                    <w:t>、对易起尘物料进行遮盖、加强车辆管理等措施</w:t>
                  </w:r>
                </w:p>
              </w:tc>
              <w:tc>
                <w:tcPr>
                  <w:tcW w:w="643" w:type="pct"/>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343" w:type="pct"/>
                  <w:vMerge w:val="restart"/>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废水</w:t>
                  </w:r>
                </w:p>
              </w:tc>
              <w:tc>
                <w:tcPr>
                  <w:tcW w:w="880" w:type="pct"/>
                  <w:gridSpan w:val="2"/>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洗井废水、压裂返排液</w:t>
                  </w:r>
                </w:p>
              </w:tc>
              <w:tc>
                <w:tcPr>
                  <w:tcW w:w="3132" w:type="pct"/>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由地面储罐收集后，依托石西集中处理站采出水处理系统处理</w:t>
                  </w:r>
                </w:p>
              </w:tc>
              <w:tc>
                <w:tcPr>
                  <w:tcW w:w="643" w:type="pct"/>
                  <w:tcBorders>
                    <w:tl2br w:val="nil"/>
                    <w:tr2bl w:val="nil"/>
                  </w:tcBorders>
                  <w:tcMar>
                    <w:left w:w="0" w:type="dxa"/>
                    <w:right w:w="0" w:type="dxa"/>
                  </w:tcMar>
                  <w:vAlign w:val="center"/>
                </w:tcPr>
                <w:p>
                  <w:pPr>
                    <w:adjustRightInd w:val="0"/>
                    <w:snapToGrid w:val="0"/>
                    <w:spacing w:line="300" w:lineRule="exact"/>
                    <w:jc w:val="center"/>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343" w:type="pct"/>
                  <w:vMerge w:val="continue"/>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880" w:type="pct"/>
                  <w:gridSpan w:val="2"/>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生活污水</w:t>
                  </w:r>
                </w:p>
              </w:tc>
              <w:tc>
                <w:tcPr>
                  <w:tcW w:w="3132" w:type="pct"/>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生活营地内设1座临时</w:t>
                  </w:r>
                  <w:r>
                    <w:rPr>
                      <w:rFonts w:hint="eastAsia" w:cs="Times New Roman"/>
                      <w:color w:val="auto"/>
                      <w:sz w:val="21"/>
                      <w:szCs w:val="21"/>
                      <w:highlight w:val="none"/>
                      <w:lang w:eastAsia="zh-CN"/>
                    </w:rPr>
                    <w:t>防渗储集池</w:t>
                  </w:r>
                  <w:r>
                    <w:rPr>
                      <w:rFonts w:hint="default" w:ascii="Times New Roman" w:hAnsi="Times New Roman" w:cs="Times New Roman"/>
                      <w:color w:val="auto"/>
                      <w:sz w:val="21"/>
                      <w:szCs w:val="21"/>
                      <w:highlight w:val="none"/>
                    </w:rPr>
                    <w:t>收集暂存，定期</w:t>
                  </w:r>
                  <w:r>
                    <w:rPr>
                      <w:rFonts w:hint="eastAsia" w:cs="Times New Roman"/>
                      <w:color w:val="auto"/>
                      <w:sz w:val="21"/>
                      <w:szCs w:val="21"/>
                      <w:highlight w:val="none"/>
                      <w:lang w:val="en-US" w:eastAsia="zh-CN"/>
                    </w:rPr>
                    <w:t>由</w:t>
                  </w:r>
                  <w:r>
                    <w:rPr>
                      <w:rFonts w:hint="default" w:ascii="Times New Roman" w:hAnsi="Times New Roman" w:cs="Times New Roman"/>
                      <w:color w:val="auto"/>
                      <w:sz w:val="21"/>
                      <w:szCs w:val="21"/>
                      <w:highlight w:val="none"/>
                    </w:rPr>
                    <w:t>吸污车抽出并拉运至</w:t>
                  </w:r>
                  <w:r>
                    <w:rPr>
                      <w:rFonts w:hint="eastAsia" w:cs="Times New Roman"/>
                      <w:color w:val="auto"/>
                      <w:sz w:val="21"/>
                      <w:szCs w:val="21"/>
                      <w:highlight w:val="none"/>
                      <w:lang w:eastAsia="zh-CN"/>
                    </w:rPr>
                    <w:t>呼图壁县丰泉污水处理厂</w:t>
                  </w:r>
                  <w:r>
                    <w:rPr>
                      <w:rFonts w:hint="default" w:ascii="Times New Roman" w:hAnsi="Times New Roman" w:cs="Times New Roman"/>
                      <w:color w:val="auto"/>
                      <w:sz w:val="21"/>
                      <w:szCs w:val="21"/>
                      <w:highlight w:val="none"/>
                    </w:rPr>
                    <w:t>处理</w:t>
                  </w:r>
                </w:p>
              </w:tc>
              <w:tc>
                <w:tcPr>
                  <w:tcW w:w="643" w:type="pct"/>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343" w:type="pct"/>
                  <w:vMerge w:val="restart"/>
                  <w:tcBorders>
                    <w:tl2br w:val="nil"/>
                    <w:tr2bl w:val="nil"/>
                  </w:tcBorders>
                  <w:tcMar>
                    <w:left w:w="0" w:type="dxa"/>
                    <w:right w:w="0" w:type="dxa"/>
                  </w:tcMar>
                  <w:vAlign w:val="center"/>
                </w:tcPr>
                <w:p>
                  <w:pPr>
                    <w:adjustRightInd w:val="0"/>
                    <w:snapToGrid w:val="0"/>
                    <w:spacing w:line="300" w:lineRule="exact"/>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固体废物</w:t>
                  </w:r>
                </w:p>
              </w:tc>
              <w:tc>
                <w:tcPr>
                  <w:tcW w:w="880" w:type="pct"/>
                  <w:gridSpan w:val="2"/>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生活垃圾</w:t>
                  </w:r>
                </w:p>
              </w:tc>
              <w:tc>
                <w:tcPr>
                  <w:tcW w:w="3132" w:type="pct"/>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设有垃圾箱集中收集，定期清运至</w:t>
                  </w:r>
                  <w:r>
                    <w:rPr>
                      <w:rFonts w:hint="eastAsia" w:cs="Times New Roman"/>
                      <w:color w:val="auto"/>
                      <w:sz w:val="21"/>
                      <w:szCs w:val="21"/>
                      <w:highlight w:val="none"/>
                      <w:lang w:eastAsia="zh-CN"/>
                    </w:rPr>
                    <w:t>呼图壁县生活垃圾填埋场</w:t>
                  </w:r>
                  <w:r>
                    <w:rPr>
                      <w:rFonts w:hint="default" w:ascii="Times New Roman" w:hAnsi="Times New Roman" w:cs="Times New Roman"/>
                      <w:color w:val="auto"/>
                      <w:sz w:val="21"/>
                      <w:szCs w:val="21"/>
                      <w:highlight w:val="none"/>
                    </w:rPr>
                    <w:t>处置</w:t>
                  </w:r>
                </w:p>
              </w:tc>
              <w:tc>
                <w:tcPr>
                  <w:tcW w:w="643" w:type="pct"/>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343" w:type="pct"/>
                  <w:vMerge w:val="continue"/>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880" w:type="pct"/>
                  <w:gridSpan w:val="2"/>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建筑垃圾</w:t>
                  </w:r>
                </w:p>
              </w:tc>
              <w:tc>
                <w:tcPr>
                  <w:tcW w:w="3132" w:type="pct"/>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集中收集在</w:t>
                  </w:r>
                  <w:r>
                    <w:rPr>
                      <w:rFonts w:hint="default" w:ascii="Times New Roman" w:hAnsi="Times New Roman" w:cs="Times New Roman"/>
                      <w:color w:val="auto"/>
                      <w:sz w:val="21"/>
                      <w:szCs w:val="21"/>
                      <w:highlight w:val="none"/>
                    </w:rPr>
                    <w:t>垃圾箱后送至当地建筑垃圾填埋场</w:t>
                  </w:r>
                </w:p>
              </w:tc>
              <w:tc>
                <w:tcPr>
                  <w:tcW w:w="643" w:type="pct"/>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740" w:hRule="atLeast"/>
              </w:trPr>
              <w:tc>
                <w:tcPr>
                  <w:tcW w:w="343" w:type="pct"/>
                  <w:vMerge w:val="continue"/>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880" w:type="pct"/>
                  <w:gridSpan w:val="2"/>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水基钻井岩屑</w:t>
                  </w:r>
                </w:p>
              </w:tc>
              <w:tc>
                <w:tcPr>
                  <w:tcW w:w="3132" w:type="pct"/>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井场设1套钻井液不落地设备，水基钻井岩屑暂存于岩屑方罐中，委托岩屑处置单位处置</w:t>
                  </w:r>
                </w:p>
              </w:tc>
              <w:tc>
                <w:tcPr>
                  <w:tcW w:w="643" w:type="pct"/>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740" w:hRule="atLeast"/>
              </w:trPr>
              <w:tc>
                <w:tcPr>
                  <w:tcW w:w="343" w:type="pct"/>
                  <w:vMerge w:val="continue"/>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p>
              </w:tc>
              <w:tc>
                <w:tcPr>
                  <w:tcW w:w="880" w:type="pct"/>
                  <w:gridSpan w:val="2"/>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油基钻井岩屑</w:t>
                  </w:r>
                </w:p>
              </w:tc>
              <w:tc>
                <w:tcPr>
                  <w:tcW w:w="3132" w:type="pct"/>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井场设1套钻井液不落地设备，</w:t>
                  </w:r>
                  <w:r>
                    <w:rPr>
                      <w:rFonts w:hint="eastAsia" w:cs="Times New Roman"/>
                      <w:color w:val="auto"/>
                      <w:sz w:val="21"/>
                      <w:szCs w:val="21"/>
                      <w:highlight w:val="none"/>
                      <w:lang w:val="en-US" w:eastAsia="zh-CN"/>
                    </w:rPr>
                    <w:t>油基</w:t>
                  </w:r>
                  <w:r>
                    <w:rPr>
                      <w:rFonts w:hint="default" w:ascii="Times New Roman" w:hAnsi="Times New Roman" w:cs="Times New Roman"/>
                      <w:color w:val="auto"/>
                      <w:sz w:val="21"/>
                      <w:szCs w:val="21"/>
                      <w:highlight w:val="none"/>
                    </w:rPr>
                    <w:t>钻井岩屑暂存于岩屑方罐中，</w:t>
                  </w:r>
                  <w:r>
                    <w:rPr>
                      <w:rFonts w:hint="eastAsia" w:ascii="宋体" w:hAnsi="宋体" w:cs="宋体"/>
                      <w:color w:val="auto"/>
                      <w:sz w:val="21"/>
                      <w:szCs w:val="21"/>
                      <w:highlight w:val="none"/>
                    </w:rPr>
                    <w:t>储罐下方采用防渗膜防渗，</w:t>
                  </w:r>
                  <w:r>
                    <w:rPr>
                      <w:rFonts w:hint="eastAsia" w:ascii="宋体" w:hAnsi="宋体" w:cs="宋体"/>
                      <w:color w:val="auto"/>
                      <w:sz w:val="21"/>
                      <w:szCs w:val="21"/>
                      <w:highlight w:val="none"/>
                      <w:lang w:val="en-US" w:eastAsia="zh-CN"/>
                    </w:rPr>
                    <w:t>设置围堰；岩屑</w:t>
                  </w:r>
                  <w:r>
                    <w:rPr>
                      <w:rFonts w:hint="eastAsia" w:ascii="Times New Roman" w:hAnsi="Times New Roman" w:cs="Times New Roman"/>
                      <w:color w:val="auto"/>
                      <w:sz w:val="21"/>
                      <w:szCs w:val="21"/>
                      <w:highlight w:val="none"/>
                      <w:lang w:val="en-US" w:eastAsia="zh-CN"/>
                    </w:rPr>
                    <w:t>委托具有相应</w:t>
                  </w:r>
                  <w:r>
                    <w:rPr>
                      <w:rFonts w:hint="default" w:ascii="Times New Roman" w:hAnsi="Times New Roman" w:cs="Times New Roman"/>
                      <w:color w:val="auto"/>
                      <w:sz w:val="21"/>
                      <w:szCs w:val="21"/>
                      <w:highlight w:val="none"/>
                      <w:lang w:val="en-US" w:eastAsia="zh-CN"/>
                    </w:rPr>
                    <w:t>危废资质单位</w:t>
                  </w:r>
                  <w:r>
                    <w:rPr>
                      <w:rFonts w:hint="eastAsia" w:ascii="Times New Roman" w:hAnsi="Times New Roman" w:cs="Times New Roman"/>
                      <w:color w:val="auto"/>
                      <w:sz w:val="21"/>
                      <w:szCs w:val="21"/>
                      <w:highlight w:val="none"/>
                      <w:lang w:val="en-US" w:eastAsia="zh-CN"/>
                    </w:rPr>
                    <w:t>转运、处置</w:t>
                  </w:r>
                </w:p>
              </w:tc>
              <w:tc>
                <w:tcPr>
                  <w:tcW w:w="643" w:type="pct"/>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343" w:type="pct"/>
                  <w:vMerge w:val="continue"/>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cs="Times New Roman"/>
                      <w:color w:val="auto"/>
                      <w:sz w:val="21"/>
                      <w:szCs w:val="21"/>
                    </w:rPr>
                  </w:pPr>
                </w:p>
              </w:tc>
              <w:tc>
                <w:tcPr>
                  <w:tcW w:w="880" w:type="pct"/>
                  <w:gridSpan w:val="2"/>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沾油废防渗材料、废润滑油及废润滑油桶</w:t>
                  </w:r>
                </w:p>
              </w:tc>
              <w:tc>
                <w:tcPr>
                  <w:tcW w:w="3132" w:type="pct"/>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钻井井场设置1座危险废物贮存点，用于施工过程中产生的沾油废防渗材料、废润滑油及废润滑油桶的暂存，各类危险废物定期交由具有相应危险废物处置资质的单位进行接收、转运和处置</w:t>
                  </w:r>
                </w:p>
              </w:tc>
              <w:tc>
                <w:tcPr>
                  <w:tcW w:w="643" w:type="pct"/>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w:t>
                  </w:r>
                </w:p>
              </w:tc>
            </w:tr>
            <w:bookmarkEnd w:id="149"/>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1224" w:type="pct"/>
                  <w:gridSpan w:val="3"/>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cs="Times New Roman"/>
                      <w:color w:val="auto"/>
                      <w:sz w:val="21"/>
                      <w:szCs w:val="21"/>
                    </w:rPr>
                  </w:pPr>
                  <w:bookmarkStart w:id="152" w:name="_Hlk180059585"/>
                  <w:r>
                    <w:rPr>
                      <w:rFonts w:hint="default" w:ascii="Times New Roman" w:hAnsi="Times New Roman" w:cs="Times New Roman"/>
                      <w:color w:val="auto"/>
                      <w:sz w:val="21"/>
                      <w:szCs w:val="21"/>
                    </w:rPr>
                    <w:t>生态恢复</w:t>
                  </w:r>
                </w:p>
              </w:tc>
              <w:tc>
                <w:tcPr>
                  <w:tcW w:w="3132" w:type="pct"/>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对临时占地进行清理、平整</w:t>
                  </w:r>
                  <w:r>
                    <w:rPr>
                      <w:rFonts w:hint="eastAsia" w:cs="Times New Roman"/>
                      <w:color w:val="auto"/>
                      <w:sz w:val="21"/>
                      <w:szCs w:val="21"/>
                      <w:lang w:eastAsia="zh-CN"/>
                    </w:rPr>
                    <w:t>、</w:t>
                  </w:r>
                  <w:r>
                    <w:rPr>
                      <w:rFonts w:hint="eastAsia" w:cs="Times New Roman"/>
                      <w:color w:val="auto"/>
                      <w:sz w:val="21"/>
                      <w:szCs w:val="21"/>
                      <w:lang w:val="en-US" w:eastAsia="zh-CN"/>
                    </w:rPr>
                    <w:t>土地进行复垦</w:t>
                  </w:r>
                </w:p>
              </w:tc>
              <w:tc>
                <w:tcPr>
                  <w:tcW w:w="643" w:type="pct"/>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347" w:type="pct"/>
                  <w:gridSpan w:val="2"/>
                  <w:vMerge w:val="restart"/>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环境风险</w:t>
                  </w:r>
                </w:p>
              </w:tc>
              <w:tc>
                <w:tcPr>
                  <w:tcW w:w="877" w:type="pct"/>
                  <w:tcBorders>
                    <w:tl2br w:val="nil"/>
                    <w:tr2bl w:val="nil"/>
                  </w:tcBorders>
                  <w:shd w:val="clear" w:color="auto" w:fill="auto"/>
                  <w:tcMar>
                    <w:left w:w="0" w:type="dxa"/>
                    <w:right w:w="0" w:type="dxa"/>
                  </w:tcMar>
                  <w:vAlign w:val="center"/>
                </w:tcPr>
                <w:p>
                  <w:pPr>
                    <w:adjustRightInd w:val="0"/>
                    <w:snapToGrid w:val="0"/>
                    <w:spacing w:line="300" w:lineRule="exact"/>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井控装置</w:t>
                  </w:r>
                </w:p>
              </w:tc>
              <w:tc>
                <w:tcPr>
                  <w:tcW w:w="3132" w:type="pct"/>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设置防喷器，防止井喷；井场左右两侧各设置1条放喷管线，并预留应急放喷池位置</w:t>
                  </w:r>
                </w:p>
              </w:tc>
              <w:tc>
                <w:tcPr>
                  <w:tcW w:w="643" w:type="pct"/>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347" w:type="pct"/>
                  <w:gridSpan w:val="2"/>
                  <w:vMerge w:val="continue"/>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cs="Times New Roman"/>
                      <w:color w:val="auto"/>
                      <w:sz w:val="21"/>
                      <w:szCs w:val="21"/>
                    </w:rPr>
                  </w:pPr>
                </w:p>
              </w:tc>
              <w:tc>
                <w:tcPr>
                  <w:tcW w:w="877" w:type="pct"/>
                  <w:tcBorders>
                    <w:tl2br w:val="nil"/>
                    <w:tr2bl w:val="nil"/>
                  </w:tcBorders>
                  <w:shd w:val="clear" w:color="auto" w:fill="auto"/>
                  <w:tcMar>
                    <w:left w:w="0" w:type="dxa"/>
                    <w:right w:w="0" w:type="dxa"/>
                  </w:tcMar>
                  <w:vAlign w:val="center"/>
                </w:tcPr>
                <w:p>
                  <w:pPr>
                    <w:adjustRightInd w:val="0"/>
                    <w:snapToGrid w:val="0"/>
                    <w:spacing w:line="300" w:lineRule="exact"/>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硫化氢监测</w:t>
                  </w:r>
                </w:p>
              </w:tc>
              <w:tc>
                <w:tcPr>
                  <w:tcW w:w="3132" w:type="pct"/>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井场配备便携式</w:t>
                  </w:r>
                  <w:r>
                    <w:rPr>
                      <w:rFonts w:hint="default" w:ascii="Times New Roman" w:hAnsi="Times New Roman" w:cs="Times New Roman"/>
                      <w:color w:val="auto"/>
                      <w:sz w:val="21"/>
                      <w:szCs w:val="21"/>
                    </w:rPr>
                    <w:t>硫化氢气体检测</w:t>
                  </w:r>
                  <w:r>
                    <w:rPr>
                      <w:rFonts w:hint="default" w:ascii="Times New Roman" w:hAnsi="Times New Roman" w:cs="Times New Roman"/>
                      <w:color w:val="auto"/>
                      <w:sz w:val="21"/>
                      <w:szCs w:val="21"/>
                      <w:lang w:val="en-US" w:eastAsia="zh-CN"/>
                    </w:rPr>
                    <w:t>仪</w:t>
                  </w:r>
                </w:p>
              </w:tc>
              <w:tc>
                <w:tcPr>
                  <w:tcW w:w="643" w:type="pct"/>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w:t>
                  </w:r>
                </w:p>
              </w:tc>
            </w:tr>
            <w:bookmarkEnd w:id="150"/>
            <w:bookmarkEnd w:id="152"/>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4356" w:type="pct"/>
                  <w:gridSpan w:val="4"/>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合计</w:t>
                  </w:r>
                </w:p>
              </w:tc>
              <w:tc>
                <w:tcPr>
                  <w:tcW w:w="643" w:type="pct"/>
                  <w:tcBorders>
                    <w:tl2br w:val="nil"/>
                    <w:tr2bl w:val="nil"/>
                  </w:tcBorders>
                  <w:tcMar>
                    <w:left w:w="0" w:type="dxa"/>
                    <w:right w:w="0" w:type="dxa"/>
                  </w:tcMar>
                  <w:vAlign w:val="center"/>
                </w:tcPr>
                <w:p>
                  <w:pPr>
                    <w:adjustRightInd w:val="0"/>
                    <w:snapToGrid w:val="0"/>
                    <w:spacing w:line="300" w:lineRule="exact"/>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253</w:t>
                  </w:r>
                </w:p>
              </w:tc>
            </w:tr>
          </w:tbl>
          <w:p>
            <w:pPr>
              <w:pStyle w:val="35"/>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color w:val="auto"/>
                <w:lang w:val="en-US" w:eastAsia="zh-CN"/>
              </w:rPr>
            </w:pPr>
            <w:r>
              <w:rPr>
                <w:rFonts w:hint="eastAsia"/>
                <w:color w:val="auto"/>
                <w:lang w:val="en-US" w:eastAsia="zh-CN"/>
              </w:rPr>
              <w:t xml:space="preserve">           </w:t>
            </w:r>
          </w:p>
          <w:p>
            <w:pPr>
              <w:pStyle w:val="35"/>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lang w:val="en-US" w:eastAsia="zh-CN"/>
              </w:rPr>
            </w:pPr>
          </w:p>
          <w:p>
            <w:pPr>
              <w:pStyle w:val="35"/>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lang w:val="en-US" w:eastAsia="zh-CN"/>
              </w:rPr>
            </w:pPr>
          </w:p>
          <w:p>
            <w:pPr>
              <w:pStyle w:val="35"/>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lang w:val="en-US" w:eastAsia="zh-CN"/>
              </w:rPr>
            </w:pPr>
          </w:p>
          <w:p>
            <w:pPr>
              <w:pStyle w:val="35"/>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lang w:val="en-US" w:eastAsia="zh-CN"/>
              </w:rPr>
            </w:pPr>
          </w:p>
          <w:p>
            <w:pPr>
              <w:pStyle w:val="35"/>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lang w:val="en-US" w:eastAsia="zh-CN"/>
              </w:rPr>
            </w:pPr>
          </w:p>
          <w:p>
            <w:pPr>
              <w:pStyle w:val="35"/>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lang w:val="en-US" w:eastAsia="zh-CN"/>
              </w:rPr>
            </w:pPr>
          </w:p>
          <w:p>
            <w:pPr>
              <w:pStyle w:val="35"/>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lang w:val="en-US" w:eastAsia="zh-CN"/>
              </w:rPr>
            </w:pPr>
          </w:p>
          <w:p>
            <w:pPr>
              <w:pStyle w:val="35"/>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lang w:val="en-US" w:eastAsia="zh-CN"/>
              </w:rPr>
            </w:pPr>
          </w:p>
          <w:p>
            <w:pPr>
              <w:pStyle w:val="35"/>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lang w:val="en-US" w:eastAsia="zh-CN"/>
              </w:rPr>
            </w:pPr>
          </w:p>
          <w:p>
            <w:pPr>
              <w:pStyle w:val="35"/>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lang w:val="en-US" w:eastAsia="zh-CN"/>
              </w:rPr>
            </w:pPr>
          </w:p>
          <w:p>
            <w:pPr>
              <w:pStyle w:val="35"/>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lang w:val="en-US" w:eastAsia="zh-CN"/>
              </w:rPr>
            </w:pPr>
          </w:p>
          <w:p>
            <w:pPr>
              <w:pStyle w:val="35"/>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lang w:val="en-US" w:eastAsia="zh-CN"/>
              </w:rPr>
            </w:pPr>
          </w:p>
          <w:p>
            <w:pPr>
              <w:pStyle w:val="35"/>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lang w:val="en-US" w:eastAsia="zh-CN"/>
              </w:rPr>
            </w:pPr>
          </w:p>
          <w:p>
            <w:pPr>
              <w:pStyle w:val="35"/>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lang w:val="en-US" w:eastAsia="zh-CN"/>
              </w:rPr>
            </w:pPr>
          </w:p>
          <w:p>
            <w:pPr>
              <w:pStyle w:val="35"/>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lang w:val="en-US" w:eastAsia="zh-CN"/>
              </w:rPr>
            </w:pPr>
          </w:p>
          <w:p>
            <w:pPr>
              <w:pStyle w:val="35"/>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lang w:val="en-US" w:eastAsia="zh-CN"/>
              </w:rPr>
            </w:pPr>
          </w:p>
        </w:tc>
      </w:tr>
    </w:tbl>
    <w:p>
      <w:pPr>
        <w:pStyle w:val="3"/>
        <w:rPr>
          <w:rFonts w:hint="default" w:ascii="Times New Roman" w:hAnsi="Times New Roman" w:cs="Times New Roman"/>
          <w:color w:val="000000" w:themeColor="text1"/>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3"/>
        <w:rPr>
          <w:rFonts w:hint="default" w:ascii="Times New Roman" w:hAnsi="Times New Roman" w:eastAsia="黑体" w:cs="Times New Roman"/>
          <w:b w:val="0"/>
          <w:bCs/>
          <w:color w:val="000000" w:themeColor="text1"/>
          <w:sz w:val="30"/>
          <w:szCs w:val="30"/>
          <w14:textFill>
            <w14:solidFill>
              <w14:schemeClr w14:val="tx1"/>
            </w14:solidFill>
          </w14:textFill>
        </w:rPr>
      </w:pPr>
      <w:bookmarkStart w:id="153" w:name="_Toc12274"/>
      <w:r>
        <w:rPr>
          <w:rFonts w:hint="default" w:ascii="Times New Roman" w:hAnsi="Times New Roman" w:eastAsia="黑体" w:cs="Times New Roman"/>
          <w:b w:val="0"/>
          <w:bCs/>
          <w:color w:val="000000" w:themeColor="text1"/>
          <w:sz w:val="30"/>
          <w:szCs w:val="30"/>
          <w14:textFill>
            <w14:solidFill>
              <w14:schemeClr w14:val="tx1"/>
            </w14:solidFill>
          </w14:textFill>
        </w:rPr>
        <w:t>六、生态环境保护措施监督检查清单</w:t>
      </w:r>
      <w:bookmarkEnd w:id="153"/>
    </w:p>
    <w:tbl>
      <w:tblPr>
        <w:tblStyle w:val="27"/>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79" w:type="dxa"/>
          <w:bottom w:w="0" w:type="dxa"/>
          <w:right w:w="79" w:type="dxa"/>
        </w:tblCellMar>
      </w:tblPr>
      <w:tblGrid>
        <w:gridCol w:w="1073"/>
        <w:gridCol w:w="3955"/>
        <w:gridCol w:w="1945"/>
        <w:gridCol w:w="850"/>
        <w:gridCol w:w="64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97" w:hRule="atLeast"/>
          <w:tblHeader/>
          <w:jc w:val="center"/>
        </w:trPr>
        <w:tc>
          <w:tcPr>
            <w:tcW w:w="634" w:type="pct"/>
            <w:vMerge w:val="restart"/>
            <w:tcBorders>
              <w:tl2br w:val="single" w:color="auto" w:sz="4" w:space="0"/>
            </w:tcBorders>
          </w:tcPr>
          <w:p>
            <w:pPr>
              <w:pStyle w:val="25"/>
              <w:keepNext w:val="0"/>
              <w:keepLines w:val="0"/>
              <w:pageBreakBefore w:val="0"/>
              <w:kinsoku/>
              <w:wordWrap/>
              <w:overflowPunct/>
              <w:topLinePunct w:val="0"/>
              <w:autoSpaceDE/>
              <w:autoSpaceDN/>
              <w:bidi w:val="0"/>
              <w:adjustRightInd w:val="0"/>
              <w:snapToGrid w:val="0"/>
              <w:spacing w:before="0" w:beforeAutospacing="0" w:after="0" w:afterAutospacing="0" w:line="280" w:lineRule="exact"/>
              <w:jc w:val="right"/>
              <w:textAlignment w:val="auto"/>
              <w:outlineLvl w:val="9"/>
              <w:rPr>
                <w:rFonts w:hint="default" w:ascii="Times New Roman" w:hAnsi="Times New Roman" w:eastAsia="黑体" w:cs="Times New Roman"/>
                <w:color w:val="000000" w:themeColor="text1"/>
                <w:kern w:val="2"/>
                <w:sz w:val="21"/>
                <w:szCs w:val="21"/>
                <w14:textFill>
                  <w14:solidFill>
                    <w14:schemeClr w14:val="tx1"/>
                  </w14:solidFill>
                </w14:textFill>
              </w:rPr>
            </w:pPr>
            <w:bookmarkStart w:id="154" w:name="_Toc32580"/>
            <w:r>
              <w:rPr>
                <w:rFonts w:hint="default" w:ascii="Times New Roman" w:hAnsi="Times New Roman" w:eastAsia="黑体" w:cs="Times New Roman"/>
                <w:color w:val="000000" w:themeColor="text1"/>
                <w:kern w:val="2"/>
                <w:sz w:val="21"/>
                <w:szCs w:val="21"/>
                <w14:textFill>
                  <w14:solidFill>
                    <w14:schemeClr w14:val="tx1"/>
                  </w14:solidFill>
                </w14:textFill>
              </w:rPr>
              <w:t>内容</w:t>
            </w:r>
            <w:bookmarkEnd w:id="154"/>
          </w:p>
          <w:p>
            <w:pPr>
              <w:pStyle w:val="25"/>
              <w:keepNext w:val="0"/>
              <w:keepLines w:val="0"/>
              <w:pageBreakBefore w:val="0"/>
              <w:kinsoku/>
              <w:wordWrap/>
              <w:overflowPunct/>
              <w:topLinePunct w:val="0"/>
              <w:autoSpaceDE/>
              <w:autoSpaceDN/>
              <w:bidi w:val="0"/>
              <w:adjustRightInd w:val="0"/>
              <w:snapToGrid w:val="0"/>
              <w:spacing w:before="0" w:beforeAutospacing="0" w:after="0" w:afterAutospacing="0" w:line="280" w:lineRule="exact"/>
              <w:textAlignment w:val="auto"/>
              <w:outlineLvl w:val="9"/>
              <w:rPr>
                <w:rFonts w:hint="default" w:ascii="Times New Roman" w:hAnsi="Times New Roman" w:eastAsia="黑体" w:cs="Times New Roman"/>
                <w:color w:val="000000" w:themeColor="text1"/>
                <w:kern w:val="2"/>
                <w:sz w:val="135"/>
                <w:szCs w:val="21"/>
                <w14:textFill>
                  <w14:solidFill>
                    <w14:schemeClr w14:val="tx1"/>
                  </w14:solidFill>
                </w14:textFill>
              </w:rPr>
            </w:pPr>
            <w:r>
              <w:rPr>
                <w:rFonts w:hint="default" w:ascii="Times New Roman" w:hAnsi="Times New Roman" w:eastAsia="黑体" w:cs="Times New Roman"/>
                <w:color w:val="000000" w:themeColor="text1"/>
                <w:kern w:val="2"/>
                <w:sz w:val="21"/>
                <w:szCs w:val="21"/>
                <w14:textFill>
                  <w14:solidFill>
                    <w14:schemeClr w14:val="tx1"/>
                  </w14:solidFill>
                </w14:textFill>
              </w:rPr>
              <w:t xml:space="preserve"> </w:t>
            </w:r>
            <w:r>
              <w:rPr>
                <w:rFonts w:hint="default" w:ascii="Times New Roman" w:hAnsi="Times New Roman" w:eastAsia="黑体" w:cs="Times New Roman"/>
                <w:color w:val="000000" w:themeColor="text1"/>
                <w:kern w:val="2"/>
                <w:sz w:val="135"/>
                <w:szCs w:val="21"/>
                <w14:textFill>
                  <w14:solidFill>
                    <w14:schemeClr w14:val="tx1"/>
                  </w14:solidFill>
                </w14:textFill>
              </w:rPr>
              <w:t xml:space="preserve"> </w:t>
            </w:r>
          </w:p>
          <w:p>
            <w:pPr>
              <w:pStyle w:val="25"/>
              <w:keepNext w:val="0"/>
              <w:keepLines w:val="0"/>
              <w:pageBreakBefore w:val="0"/>
              <w:kinsoku/>
              <w:wordWrap/>
              <w:overflowPunct/>
              <w:topLinePunct w:val="0"/>
              <w:autoSpaceDE/>
              <w:autoSpaceDN/>
              <w:bidi w:val="0"/>
              <w:adjustRightInd w:val="0"/>
              <w:snapToGrid w:val="0"/>
              <w:spacing w:before="0" w:beforeAutospacing="0" w:after="0" w:afterAutospacing="0" w:line="280" w:lineRule="exact"/>
              <w:jc w:val="both"/>
              <w:textAlignment w:val="auto"/>
              <w:outlineLvl w:val="9"/>
              <w:rPr>
                <w:rFonts w:hint="default" w:ascii="Times New Roman" w:hAnsi="Times New Roman" w:eastAsia="黑体" w:cs="Times New Roman"/>
                <w:color w:val="000000" w:themeColor="text1"/>
                <w:kern w:val="2"/>
                <w:sz w:val="21"/>
                <w:szCs w:val="21"/>
                <w14:textFill>
                  <w14:solidFill>
                    <w14:schemeClr w14:val="tx1"/>
                  </w14:solidFill>
                </w14:textFill>
              </w:rPr>
            </w:pPr>
            <w:bookmarkStart w:id="155" w:name="_Toc5962"/>
            <w:r>
              <w:rPr>
                <w:rFonts w:hint="default" w:ascii="Times New Roman" w:hAnsi="Times New Roman" w:eastAsia="黑体" w:cs="Times New Roman"/>
                <w:color w:val="000000" w:themeColor="text1"/>
                <w:kern w:val="2"/>
                <w:sz w:val="21"/>
                <w:szCs w:val="21"/>
                <w14:textFill>
                  <w14:solidFill>
                    <w14:schemeClr w14:val="tx1"/>
                  </w14:solidFill>
                </w14:textFill>
              </w:rPr>
              <w:t>要素</w:t>
            </w:r>
            <w:bookmarkEnd w:id="155"/>
          </w:p>
        </w:tc>
        <w:tc>
          <w:tcPr>
            <w:tcW w:w="3485" w:type="pct"/>
            <w:gridSpan w:val="2"/>
            <w:vAlign w:val="center"/>
          </w:tcPr>
          <w:p>
            <w:pPr>
              <w:pStyle w:val="25"/>
              <w:keepNext w:val="0"/>
              <w:keepLines w:val="0"/>
              <w:pageBreakBefore w:val="0"/>
              <w:kinsoku/>
              <w:wordWrap/>
              <w:overflowPunct/>
              <w:topLinePunct w:val="0"/>
              <w:autoSpaceDE/>
              <w:autoSpaceDN/>
              <w:bidi w:val="0"/>
              <w:adjustRightInd w:val="0"/>
              <w:snapToGrid w:val="0"/>
              <w:spacing w:before="0" w:beforeAutospacing="0" w:after="0" w:afterAutospacing="0" w:line="280" w:lineRule="exact"/>
              <w:jc w:val="center"/>
              <w:textAlignment w:val="auto"/>
              <w:outlineLvl w:val="9"/>
              <w:rPr>
                <w:rFonts w:hint="default" w:ascii="Times New Roman" w:hAnsi="Times New Roman" w:eastAsia="黑体" w:cs="Times New Roman"/>
                <w:color w:val="000000" w:themeColor="text1"/>
                <w:kern w:val="2"/>
                <w:sz w:val="21"/>
                <w:szCs w:val="21"/>
                <w14:textFill>
                  <w14:solidFill>
                    <w14:schemeClr w14:val="tx1"/>
                  </w14:solidFill>
                </w14:textFill>
              </w:rPr>
            </w:pPr>
            <w:bookmarkStart w:id="156" w:name="_Toc20362"/>
            <w:r>
              <w:rPr>
                <w:rFonts w:hint="default" w:ascii="Times New Roman" w:hAnsi="Times New Roman" w:eastAsia="黑体" w:cs="Times New Roman"/>
                <w:color w:val="000000" w:themeColor="text1"/>
                <w:kern w:val="2"/>
                <w:sz w:val="21"/>
                <w:szCs w:val="21"/>
                <w14:textFill>
                  <w14:solidFill>
                    <w14:schemeClr w14:val="tx1"/>
                  </w14:solidFill>
                </w14:textFill>
              </w:rPr>
              <w:t>施工期</w:t>
            </w:r>
            <w:bookmarkEnd w:id="156"/>
          </w:p>
        </w:tc>
        <w:tc>
          <w:tcPr>
            <w:tcW w:w="880" w:type="pct"/>
            <w:gridSpan w:val="2"/>
            <w:vAlign w:val="center"/>
          </w:tcPr>
          <w:p>
            <w:pPr>
              <w:pStyle w:val="25"/>
              <w:keepNext w:val="0"/>
              <w:keepLines w:val="0"/>
              <w:pageBreakBefore w:val="0"/>
              <w:kinsoku/>
              <w:wordWrap/>
              <w:overflowPunct/>
              <w:topLinePunct w:val="0"/>
              <w:autoSpaceDE/>
              <w:autoSpaceDN/>
              <w:bidi w:val="0"/>
              <w:adjustRightInd w:val="0"/>
              <w:snapToGrid w:val="0"/>
              <w:spacing w:before="0" w:beforeAutospacing="0" w:after="0" w:afterAutospacing="0" w:line="280" w:lineRule="exact"/>
              <w:jc w:val="center"/>
              <w:textAlignment w:val="auto"/>
              <w:outlineLvl w:val="9"/>
              <w:rPr>
                <w:rFonts w:hint="default" w:ascii="Times New Roman" w:hAnsi="Times New Roman" w:eastAsia="黑体" w:cs="Times New Roman"/>
                <w:color w:val="000000" w:themeColor="text1"/>
                <w:kern w:val="2"/>
                <w:sz w:val="21"/>
                <w:szCs w:val="21"/>
                <w14:textFill>
                  <w14:solidFill>
                    <w14:schemeClr w14:val="tx1"/>
                  </w14:solidFill>
                </w14:textFill>
              </w:rPr>
            </w:pPr>
            <w:bookmarkStart w:id="157" w:name="_Toc14726"/>
            <w:r>
              <w:rPr>
                <w:rFonts w:hint="default" w:ascii="Times New Roman" w:hAnsi="Times New Roman" w:eastAsia="黑体" w:cs="Times New Roman"/>
                <w:color w:val="000000" w:themeColor="text1"/>
                <w:kern w:val="2"/>
                <w:sz w:val="21"/>
                <w:szCs w:val="21"/>
                <w14:textFill>
                  <w14:solidFill>
                    <w14:schemeClr w14:val="tx1"/>
                  </w14:solidFill>
                </w14:textFill>
              </w:rPr>
              <w:t>运营期</w:t>
            </w:r>
            <w:bookmarkEnd w:id="157"/>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97" w:hRule="atLeast"/>
          <w:tblHeader/>
          <w:jc w:val="center"/>
        </w:trPr>
        <w:tc>
          <w:tcPr>
            <w:tcW w:w="634" w:type="pct"/>
            <w:vMerge w:val="continue"/>
          </w:tcPr>
          <w:p>
            <w:pPr>
              <w:pStyle w:val="25"/>
              <w:keepNext w:val="0"/>
              <w:keepLines w:val="0"/>
              <w:pageBreakBefore w:val="0"/>
              <w:kinsoku/>
              <w:wordWrap/>
              <w:overflowPunct/>
              <w:topLinePunct w:val="0"/>
              <w:autoSpaceDE/>
              <w:autoSpaceDN/>
              <w:bidi w:val="0"/>
              <w:adjustRightInd w:val="0"/>
              <w:snapToGrid w:val="0"/>
              <w:spacing w:before="0" w:beforeAutospacing="0" w:after="0" w:afterAutospacing="0" w:line="280" w:lineRule="exact"/>
              <w:jc w:val="center"/>
              <w:textAlignment w:val="auto"/>
              <w:outlineLvl w:val="9"/>
              <w:rPr>
                <w:rFonts w:hint="default" w:ascii="Times New Roman" w:hAnsi="Times New Roman" w:eastAsia="黑体" w:cs="Times New Roman"/>
                <w:color w:val="000000" w:themeColor="text1"/>
                <w:kern w:val="2"/>
                <w:sz w:val="21"/>
                <w:szCs w:val="21"/>
                <w14:textFill>
                  <w14:solidFill>
                    <w14:schemeClr w14:val="tx1"/>
                  </w14:solidFill>
                </w14:textFill>
              </w:rPr>
            </w:pPr>
          </w:p>
        </w:tc>
        <w:tc>
          <w:tcPr>
            <w:tcW w:w="2336" w:type="pct"/>
            <w:vAlign w:val="center"/>
          </w:tcPr>
          <w:p>
            <w:pPr>
              <w:pStyle w:val="25"/>
              <w:keepNext w:val="0"/>
              <w:keepLines w:val="0"/>
              <w:pageBreakBefore w:val="0"/>
              <w:kinsoku/>
              <w:wordWrap/>
              <w:overflowPunct/>
              <w:topLinePunct w:val="0"/>
              <w:autoSpaceDE/>
              <w:autoSpaceDN/>
              <w:bidi w:val="0"/>
              <w:adjustRightInd w:val="0"/>
              <w:snapToGrid w:val="0"/>
              <w:spacing w:before="0" w:beforeAutospacing="0" w:after="0" w:afterAutospacing="0" w:line="280" w:lineRule="exact"/>
              <w:jc w:val="center"/>
              <w:textAlignment w:val="auto"/>
              <w:outlineLvl w:val="9"/>
              <w:rPr>
                <w:rFonts w:hint="default" w:ascii="Times New Roman" w:hAnsi="Times New Roman" w:eastAsia="黑体" w:cs="Times New Roman"/>
                <w:color w:val="000000" w:themeColor="text1"/>
                <w:kern w:val="2"/>
                <w:sz w:val="21"/>
                <w:szCs w:val="21"/>
                <w14:textFill>
                  <w14:solidFill>
                    <w14:schemeClr w14:val="tx1"/>
                  </w14:solidFill>
                </w14:textFill>
              </w:rPr>
            </w:pPr>
            <w:bookmarkStart w:id="158" w:name="_Toc18508"/>
            <w:r>
              <w:rPr>
                <w:rFonts w:hint="default" w:ascii="Times New Roman" w:hAnsi="Times New Roman" w:eastAsia="黑体" w:cs="Times New Roman"/>
                <w:color w:val="000000" w:themeColor="text1"/>
                <w:kern w:val="2"/>
                <w:sz w:val="21"/>
                <w:szCs w:val="21"/>
                <w14:textFill>
                  <w14:solidFill>
                    <w14:schemeClr w14:val="tx1"/>
                  </w14:solidFill>
                </w14:textFill>
              </w:rPr>
              <w:t>环境保护措施</w:t>
            </w:r>
            <w:bookmarkEnd w:id="158"/>
          </w:p>
        </w:tc>
        <w:tc>
          <w:tcPr>
            <w:tcW w:w="1148" w:type="pct"/>
            <w:vAlign w:val="center"/>
          </w:tcPr>
          <w:p>
            <w:pPr>
              <w:pStyle w:val="25"/>
              <w:keepNext w:val="0"/>
              <w:keepLines w:val="0"/>
              <w:pageBreakBefore w:val="0"/>
              <w:kinsoku/>
              <w:wordWrap/>
              <w:overflowPunct/>
              <w:topLinePunct w:val="0"/>
              <w:autoSpaceDE/>
              <w:autoSpaceDN/>
              <w:bidi w:val="0"/>
              <w:adjustRightInd w:val="0"/>
              <w:snapToGrid w:val="0"/>
              <w:spacing w:before="0" w:beforeAutospacing="0" w:after="0" w:afterAutospacing="0" w:line="280" w:lineRule="exact"/>
              <w:jc w:val="center"/>
              <w:textAlignment w:val="auto"/>
              <w:outlineLvl w:val="9"/>
              <w:rPr>
                <w:rFonts w:hint="default" w:ascii="Times New Roman" w:hAnsi="Times New Roman" w:eastAsia="黑体" w:cs="Times New Roman"/>
                <w:color w:val="000000" w:themeColor="text1"/>
                <w:kern w:val="2"/>
                <w:sz w:val="21"/>
                <w:szCs w:val="21"/>
                <w14:textFill>
                  <w14:solidFill>
                    <w14:schemeClr w14:val="tx1"/>
                  </w14:solidFill>
                </w14:textFill>
              </w:rPr>
            </w:pPr>
            <w:bookmarkStart w:id="159" w:name="_Toc26361"/>
            <w:r>
              <w:rPr>
                <w:rFonts w:hint="default" w:ascii="Times New Roman" w:hAnsi="Times New Roman" w:eastAsia="黑体" w:cs="Times New Roman"/>
                <w:color w:val="000000" w:themeColor="text1"/>
                <w:kern w:val="2"/>
                <w:sz w:val="21"/>
                <w:szCs w:val="21"/>
                <w14:textFill>
                  <w14:solidFill>
                    <w14:schemeClr w14:val="tx1"/>
                  </w14:solidFill>
                </w14:textFill>
              </w:rPr>
              <w:t>验收要求</w:t>
            </w:r>
            <w:bookmarkEnd w:id="159"/>
          </w:p>
        </w:tc>
        <w:tc>
          <w:tcPr>
            <w:tcW w:w="502" w:type="pct"/>
            <w:vAlign w:val="center"/>
          </w:tcPr>
          <w:p>
            <w:pPr>
              <w:pStyle w:val="25"/>
              <w:keepNext w:val="0"/>
              <w:keepLines w:val="0"/>
              <w:pageBreakBefore w:val="0"/>
              <w:kinsoku/>
              <w:wordWrap/>
              <w:overflowPunct/>
              <w:topLinePunct w:val="0"/>
              <w:autoSpaceDE/>
              <w:autoSpaceDN/>
              <w:bidi w:val="0"/>
              <w:adjustRightInd w:val="0"/>
              <w:snapToGrid w:val="0"/>
              <w:spacing w:before="0" w:beforeAutospacing="0" w:after="0" w:afterAutospacing="0" w:line="280" w:lineRule="exact"/>
              <w:jc w:val="center"/>
              <w:textAlignment w:val="auto"/>
              <w:outlineLvl w:val="9"/>
              <w:rPr>
                <w:rFonts w:hint="default" w:ascii="Times New Roman" w:hAnsi="Times New Roman" w:eastAsia="黑体" w:cs="Times New Roman"/>
                <w:color w:val="000000" w:themeColor="text1"/>
                <w:kern w:val="2"/>
                <w:sz w:val="21"/>
                <w:szCs w:val="21"/>
                <w14:textFill>
                  <w14:solidFill>
                    <w14:schemeClr w14:val="tx1"/>
                  </w14:solidFill>
                </w14:textFill>
              </w:rPr>
            </w:pPr>
            <w:bookmarkStart w:id="160" w:name="_Toc22115"/>
            <w:r>
              <w:rPr>
                <w:rFonts w:hint="default" w:ascii="Times New Roman" w:hAnsi="Times New Roman" w:eastAsia="黑体" w:cs="Times New Roman"/>
                <w:color w:val="000000" w:themeColor="text1"/>
                <w:kern w:val="2"/>
                <w:sz w:val="21"/>
                <w:szCs w:val="21"/>
                <w14:textFill>
                  <w14:solidFill>
                    <w14:schemeClr w14:val="tx1"/>
                  </w14:solidFill>
                </w14:textFill>
              </w:rPr>
              <w:t>环境保护措施</w:t>
            </w:r>
            <w:bookmarkEnd w:id="160"/>
          </w:p>
        </w:tc>
        <w:tc>
          <w:tcPr>
            <w:tcW w:w="378" w:type="pct"/>
            <w:vAlign w:val="center"/>
          </w:tcPr>
          <w:p>
            <w:pPr>
              <w:pStyle w:val="25"/>
              <w:keepNext w:val="0"/>
              <w:keepLines w:val="0"/>
              <w:pageBreakBefore w:val="0"/>
              <w:kinsoku/>
              <w:wordWrap/>
              <w:overflowPunct/>
              <w:topLinePunct w:val="0"/>
              <w:autoSpaceDE/>
              <w:autoSpaceDN/>
              <w:bidi w:val="0"/>
              <w:adjustRightInd w:val="0"/>
              <w:snapToGrid w:val="0"/>
              <w:spacing w:before="0" w:beforeAutospacing="0" w:after="0" w:afterAutospacing="0" w:line="280" w:lineRule="exact"/>
              <w:jc w:val="center"/>
              <w:textAlignment w:val="auto"/>
              <w:outlineLvl w:val="9"/>
              <w:rPr>
                <w:rFonts w:hint="default" w:ascii="Times New Roman" w:hAnsi="Times New Roman" w:eastAsia="黑体" w:cs="Times New Roman"/>
                <w:color w:val="000000" w:themeColor="text1"/>
                <w:kern w:val="2"/>
                <w:sz w:val="21"/>
                <w:szCs w:val="21"/>
                <w14:textFill>
                  <w14:solidFill>
                    <w14:schemeClr w14:val="tx1"/>
                  </w14:solidFill>
                </w14:textFill>
              </w:rPr>
            </w:pPr>
            <w:bookmarkStart w:id="161" w:name="_Toc24712"/>
            <w:r>
              <w:rPr>
                <w:rFonts w:hint="default" w:ascii="Times New Roman" w:hAnsi="Times New Roman" w:eastAsia="黑体" w:cs="Times New Roman"/>
                <w:color w:val="000000" w:themeColor="text1"/>
                <w:kern w:val="2"/>
                <w:sz w:val="21"/>
                <w:szCs w:val="21"/>
                <w14:textFill>
                  <w14:solidFill>
                    <w14:schemeClr w14:val="tx1"/>
                  </w14:solidFill>
                </w14:textFill>
              </w:rPr>
              <w:t>验收要求</w:t>
            </w:r>
            <w:bookmarkEnd w:id="161"/>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634"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陆生生态</w:t>
            </w:r>
          </w:p>
        </w:tc>
        <w:tc>
          <w:tcPr>
            <w:tcW w:w="2336" w:type="pct"/>
            <w:vAlign w:val="center"/>
          </w:tcPr>
          <w:p>
            <w:pPr>
              <w:keepNext w:val="0"/>
              <w:keepLines w:val="0"/>
              <w:pageBreakBefore w:val="0"/>
              <w:kinsoku/>
              <w:wordWrap/>
              <w:overflowPunct/>
              <w:topLinePunct w:val="0"/>
              <w:autoSpaceDE/>
              <w:autoSpaceDN/>
              <w:bidi w:val="0"/>
              <w:adjustRightInd w:val="0"/>
              <w:snapToGrid w:val="0"/>
              <w:spacing w:line="280" w:lineRule="exact"/>
              <w:jc w:val="left"/>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fldChar w:fldCharType="begin"/>
            </w:r>
            <w:r>
              <w:rPr>
                <w:rFonts w:hint="default" w:ascii="Times New Roman" w:hAnsi="Times New Roman" w:cs="Times New Roman"/>
                <w:color w:val="000000" w:themeColor="text1"/>
                <w:sz w:val="21"/>
                <w:szCs w:val="21"/>
                <w14:textFill>
                  <w14:solidFill>
                    <w14:schemeClr w14:val="tx1"/>
                  </w14:solidFill>
                </w14:textFill>
              </w:rPr>
              <w:instrText xml:space="preserve"> = 1 \* GB3 </w:instrText>
            </w:r>
            <w:r>
              <w:rPr>
                <w:rFonts w:hint="default" w:ascii="Times New Roman" w:hAnsi="Times New Roman" w:cs="Times New Roman"/>
                <w:color w:val="000000" w:themeColor="text1"/>
                <w:sz w:val="21"/>
                <w:szCs w:val="21"/>
                <w14:textFill>
                  <w14:solidFill>
                    <w14:schemeClr w14:val="tx1"/>
                  </w14:solidFill>
                </w14:textFill>
              </w:rPr>
              <w:fldChar w:fldCharType="separate"/>
            </w:r>
            <w:r>
              <w:rPr>
                <w:rFonts w:hint="default" w:ascii="Times New Roman" w:hAnsi="Times New Roman" w:cs="Times New Roman"/>
                <w:color w:val="000000" w:themeColor="text1"/>
                <w:sz w:val="21"/>
                <w:szCs w:val="21"/>
                <w14:textFill>
                  <w14:solidFill>
                    <w14:schemeClr w14:val="tx1"/>
                  </w14:solidFill>
                </w14:textFill>
              </w:rPr>
              <w:t>①</w:t>
            </w:r>
            <w:r>
              <w:rPr>
                <w:rFonts w:hint="default" w:ascii="Times New Roman" w:hAnsi="Times New Roman" w:cs="Times New Roman"/>
                <w:color w:val="000000" w:themeColor="text1"/>
                <w:sz w:val="21"/>
                <w:szCs w:val="21"/>
                <w14:textFill>
                  <w14:solidFill>
                    <w14:schemeClr w14:val="tx1"/>
                  </w14:solidFill>
                </w14:textFill>
              </w:rPr>
              <w:fldChar w:fldCharType="end"/>
            </w:r>
            <w:r>
              <w:rPr>
                <w:rFonts w:hint="default" w:ascii="Times New Roman" w:hAnsi="Times New Roman" w:cs="Times New Roman"/>
                <w:color w:val="000000" w:themeColor="text1"/>
                <w:sz w:val="21"/>
                <w:szCs w:val="21"/>
                <w14:textFill>
                  <w14:solidFill>
                    <w14:schemeClr w14:val="tx1"/>
                  </w14:solidFill>
                </w14:textFill>
              </w:rPr>
              <w:t>选址尽量避开植被密集区域；严格划定路线，禁止乱辗乱轧；确保各环保设施正常运行，避免各种污染物对土壤环境的影响；</w:t>
            </w:r>
          </w:p>
          <w:p>
            <w:pPr>
              <w:keepNext w:val="0"/>
              <w:keepLines w:val="0"/>
              <w:pageBreakBefore w:val="0"/>
              <w:kinsoku/>
              <w:wordWrap/>
              <w:overflowPunct/>
              <w:topLinePunct w:val="0"/>
              <w:autoSpaceDE/>
              <w:autoSpaceDN/>
              <w:bidi w:val="0"/>
              <w:adjustRightInd w:val="0"/>
              <w:snapToGrid w:val="0"/>
              <w:spacing w:line="280" w:lineRule="exact"/>
              <w:jc w:val="left"/>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②严格控制占地，严格规定各类工作人员的活动范围；</w:t>
            </w:r>
          </w:p>
          <w:p>
            <w:pPr>
              <w:keepNext w:val="0"/>
              <w:keepLines w:val="0"/>
              <w:pageBreakBefore w:val="0"/>
              <w:kinsoku/>
              <w:wordWrap/>
              <w:overflowPunct/>
              <w:topLinePunct w:val="0"/>
              <w:autoSpaceDE/>
              <w:autoSpaceDN/>
              <w:bidi w:val="0"/>
              <w:adjustRightInd w:val="0"/>
              <w:snapToGrid w:val="0"/>
              <w:spacing w:line="280" w:lineRule="exact"/>
              <w:jc w:val="left"/>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③</w:t>
            </w:r>
            <w:r>
              <w:rPr>
                <w:rFonts w:hint="default" w:ascii="Times New Roman" w:hAnsi="Times New Roman" w:cs="Times New Roman"/>
                <w:color w:val="000000" w:themeColor="text1"/>
                <w:sz w:val="21"/>
                <w:szCs w:val="21"/>
                <w14:textFill>
                  <w14:solidFill>
                    <w14:schemeClr w14:val="tx1"/>
                  </w14:solidFill>
                </w14:textFill>
              </w:rPr>
              <w:t>建设单位按照相关要求办理临时占地协议</w:t>
            </w:r>
            <w:r>
              <w:rPr>
                <w:rFonts w:hint="eastAsia" w:cs="Times New Roman"/>
                <w:color w:val="000000" w:themeColor="text1"/>
                <w:sz w:val="21"/>
                <w:szCs w:val="21"/>
                <w:lang w:val="en-US" w:eastAsia="zh-CN"/>
                <w14:textFill>
                  <w14:solidFill>
                    <w14:schemeClr w14:val="tx1"/>
                  </w14:solidFill>
                </w14:textFill>
              </w:rPr>
              <w:t>和植被补偿手续</w:t>
            </w:r>
            <w:r>
              <w:rPr>
                <w:rFonts w:hint="default" w:ascii="Times New Roman" w:hAnsi="Times New Roman" w:cs="Times New Roman"/>
                <w:color w:val="000000" w:themeColor="text1"/>
                <w:sz w:val="21"/>
                <w:szCs w:val="21"/>
                <w14:textFill>
                  <w14:solidFill>
                    <w14:schemeClr w14:val="tx1"/>
                  </w14:solidFill>
                </w14:textFill>
              </w:rPr>
              <w:t>；</w:t>
            </w:r>
          </w:p>
          <w:p>
            <w:pPr>
              <w:keepNext w:val="0"/>
              <w:keepLines w:val="0"/>
              <w:pageBreakBefore w:val="0"/>
              <w:kinsoku/>
              <w:wordWrap/>
              <w:overflowPunct/>
              <w:topLinePunct w:val="0"/>
              <w:autoSpaceDE/>
              <w:autoSpaceDN/>
              <w:bidi w:val="0"/>
              <w:adjustRightInd w:val="0"/>
              <w:snapToGrid w:val="0"/>
              <w:spacing w:line="280" w:lineRule="exact"/>
              <w:jc w:val="left"/>
              <w:textAlignment w:val="auto"/>
              <w:outlineLvl w:val="9"/>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④</w:t>
            </w:r>
            <w:r>
              <w:rPr>
                <w:rFonts w:hint="default" w:ascii="Times New Roman" w:hAnsi="Times New Roman" w:cs="Times New Roman"/>
                <w:color w:val="000000" w:themeColor="text1"/>
                <w:sz w:val="21"/>
                <w:szCs w:val="21"/>
                <w14:textFill>
                  <w14:solidFill>
                    <w14:schemeClr w14:val="tx1"/>
                  </w14:solidFill>
                </w14:textFill>
              </w:rPr>
              <w:t>合理安排施工时间，避免大风天气施工</w:t>
            </w:r>
            <w:r>
              <w:rPr>
                <w:rFonts w:hint="default" w:ascii="Times New Roman" w:hAnsi="Times New Roman" w:cs="Times New Roman"/>
                <w:color w:val="000000" w:themeColor="text1"/>
                <w:sz w:val="21"/>
                <w:szCs w:val="21"/>
                <w:lang w:eastAsia="zh-CN"/>
                <w14:textFill>
                  <w14:solidFill>
                    <w14:schemeClr w14:val="tx1"/>
                  </w14:solidFill>
                </w14:textFill>
              </w:rPr>
              <w:t>；</w:t>
            </w:r>
          </w:p>
          <w:p>
            <w:pPr>
              <w:keepNext w:val="0"/>
              <w:keepLines w:val="0"/>
              <w:pageBreakBefore w:val="0"/>
              <w:kinsoku/>
              <w:wordWrap/>
              <w:overflowPunct/>
              <w:topLinePunct w:val="0"/>
              <w:autoSpaceDE/>
              <w:autoSpaceDN/>
              <w:bidi w:val="0"/>
              <w:adjustRightInd w:val="0"/>
              <w:snapToGrid w:val="0"/>
              <w:spacing w:line="280" w:lineRule="exact"/>
              <w:jc w:val="left"/>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⑤</w:t>
            </w:r>
            <w:r>
              <w:rPr>
                <w:rFonts w:hint="default" w:ascii="Times New Roman" w:hAnsi="Times New Roman" w:cs="Times New Roman"/>
                <w:color w:val="000000" w:themeColor="text1"/>
                <w:sz w:val="21"/>
                <w:szCs w:val="21"/>
                <w14:textFill>
                  <w14:solidFill>
                    <w14:schemeClr w14:val="tx1"/>
                  </w14:solidFill>
                </w14:textFill>
              </w:rPr>
              <w:t>完井后施工机械、设备及时撤离，废水和固体废物全部妥善处置，现场禁止遗留；</w:t>
            </w:r>
          </w:p>
          <w:p>
            <w:pPr>
              <w:keepNext w:val="0"/>
              <w:keepLines w:val="0"/>
              <w:pageBreakBefore w:val="0"/>
              <w:kinsoku/>
              <w:wordWrap/>
              <w:overflowPunct/>
              <w:topLinePunct w:val="0"/>
              <w:autoSpaceDE/>
              <w:autoSpaceDN/>
              <w:bidi w:val="0"/>
              <w:adjustRightInd w:val="0"/>
              <w:snapToGrid w:val="0"/>
              <w:spacing w:line="280" w:lineRule="exact"/>
              <w:jc w:val="left"/>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⑥</w:t>
            </w:r>
            <w:r>
              <w:rPr>
                <w:rFonts w:hint="default" w:ascii="Times New Roman" w:hAnsi="Times New Roman" w:cs="Times New Roman"/>
                <w:color w:val="000000" w:themeColor="text1"/>
                <w:sz w:val="21"/>
                <w:szCs w:val="21"/>
                <w14:textFill>
                  <w14:solidFill>
                    <w14:schemeClr w14:val="tx1"/>
                  </w14:solidFill>
                </w14:textFill>
              </w:rPr>
              <w:t>施工结束后及时对场地进行清理、平整</w:t>
            </w:r>
            <w:r>
              <w:rPr>
                <w:rFonts w:hint="eastAsia" w:cs="Times New Roman"/>
                <w:color w:val="000000" w:themeColor="text1"/>
                <w:sz w:val="21"/>
                <w:szCs w:val="21"/>
                <w:lang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以利于植被恢复；实施土地复垦</w:t>
            </w:r>
          </w:p>
        </w:tc>
        <w:tc>
          <w:tcPr>
            <w:tcW w:w="1148" w:type="pct"/>
            <w:vAlign w:val="center"/>
          </w:tcPr>
          <w:p>
            <w:pPr>
              <w:keepNext w:val="0"/>
              <w:keepLines w:val="0"/>
              <w:pageBreakBefore w:val="0"/>
              <w:kinsoku/>
              <w:wordWrap/>
              <w:overflowPunct/>
              <w:topLinePunct w:val="0"/>
              <w:autoSpaceDE/>
              <w:autoSpaceDN/>
              <w:bidi w:val="0"/>
              <w:adjustRightInd w:val="0"/>
              <w:snapToGrid w:val="0"/>
              <w:spacing w:line="280" w:lineRule="exact"/>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施工结束后清理、平整，以利于土壤、植被恢复。井场、生活营地和</w:t>
            </w:r>
            <w:r>
              <w:rPr>
                <w:rFonts w:hint="eastAsia" w:cs="Times New Roman"/>
                <w:color w:val="000000" w:themeColor="text1"/>
                <w:sz w:val="21"/>
                <w:szCs w:val="21"/>
                <w:lang w:eastAsia="zh-CN"/>
                <w14:textFill>
                  <w14:solidFill>
                    <w14:schemeClr w14:val="tx1"/>
                  </w14:solidFill>
                </w14:textFill>
              </w:rPr>
              <w:t>探临道路</w:t>
            </w:r>
            <w:r>
              <w:rPr>
                <w:rFonts w:hint="default" w:ascii="Times New Roman" w:hAnsi="Times New Roman" w:cs="Times New Roman"/>
                <w:color w:val="000000" w:themeColor="text1"/>
                <w:sz w:val="21"/>
                <w:szCs w:val="21"/>
                <w14:textFill>
                  <w14:solidFill>
                    <w14:schemeClr w14:val="tx1"/>
                  </w14:solidFill>
                </w14:textFill>
              </w:rPr>
              <w:t>进行平整，</w:t>
            </w:r>
            <w:r>
              <w:rPr>
                <w:rFonts w:hint="default" w:ascii="Times New Roman" w:hAnsi="Times New Roman" w:cs="Times New Roman"/>
                <w:color w:val="000000" w:themeColor="text1"/>
                <w:sz w:val="21"/>
                <w:szCs w:val="21"/>
                <w:lang w:val="en-US" w:eastAsia="zh-CN"/>
                <w14:textFill>
                  <w14:solidFill>
                    <w14:schemeClr w14:val="tx1"/>
                  </w14:solidFill>
                </w14:textFill>
              </w:rPr>
              <w:t>临时占地范围内</w:t>
            </w:r>
            <w:r>
              <w:rPr>
                <w:rFonts w:hint="default" w:ascii="Times New Roman" w:hAnsi="Times New Roman" w:cs="Times New Roman"/>
                <w:color w:val="000000" w:themeColor="text1"/>
                <w:sz w:val="21"/>
                <w:szCs w:val="21"/>
                <w14:textFill>
                  <w14:solidFill>
                    <w14:schemeClr w14:val="tx1"/>
                  </w14:solidFill>
                </w14:textFill>
              </w:rPr>
              <w:t>无废水和固体废物遗留。</w:t>
            </w:r>
            <w:r>
              <w:rPr>
                <w:rFonts w:hint="default" w:ascii="Times New Roman" w:hAnsi="Times New Roman" w:cs="Times New Roman"/>
                <w:color w:val="000000" w:themeColor="text1"/>
                <w:sz w:val="21"/>
                <w:szCs w:val="21"/>
                <w:lang w:val="en-US" w:eastAsia="zh-CN"/>
                <w14:textFill>
                  <w14:solidFill>
                    <w14:schemeClr w14:val="tx1"/>
                  </w14:solidFill>
                </w14:textFill>
              </w:rPr>
              <w:t>具有临时</w:t>
            </w:r>
            <w:r>
              <w:rPr>
                <w:rFonts w:hint="eastAsia" w:cs="Times New Roman"/>
                <w:color w:val="000000" w:themeColor="text1"/>
                <w:sz w:val="21"/>
                <w:szCs w:val="21"/>
                <w:lang w:val="en-US" w:eastAsia="zh-CN"/>
                <w14:textFill>
                  <w14:solidFill>
                    <w14:schemeClr w14:val="tx1"/>
                  </w14:solidFill>
                </w14:textFill>
              </w:rPr>
              <w:t>用地及植被补偿手续</w:t>
            </w:r>
          </w:p>
        </w:tc>
        <w:tc>
          <w:tcPr>
            <w:tcW w:w="502"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378"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634"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水生生态</w:t>
            </w:r>
          </w:p>
        </w:tc>
        <w:tc>
          <w:tcPr>
            <w:tcW w:w="2336"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1148"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502"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378"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634"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地表水</w:t>
            </w:r>
          </w:p>
          <w:p>
            <w:pPr>
              <w:keepNext w:val="0"/>
              <w:keepLines w:val="0"/>
              <w:pageBreakBefore w:val="0"/>
              <w:kinsoku/>
              <w:wordWrap/>
              <w:overflowPunct/>
              <w:topLinePunct w:val="0"/>
              <w:autoSpaceDE/>
              <w:autoSpaceDN/>
              <w:bidi w:val="0"/>
              <w:adjustRightInd w:val="0"/>
              <w:snapToGrid w:val="0"/>
              <w:spacing w:line="280" w:lineRule="exact"/>
              <w:jc w:val="center"/>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环境</w:t>
            </w:r>
          </w:p>
        </w:tc>
        <w:tc>
          <w:tcPr>
            <w:tcW w:w="2336" w:type="pct"/>
            <w:shd w:val="clear" w:color="auto" w:fill="auto"/>
            <w:vAlign w:val="center"/>
          </w:tcPr>
          <w:p>
            <w:pPr>
              <w:keepNext w:val="0"/>
              <w:keepLines w:val="0"/>
              <w:pageBreakBefore w:val="0"/>
              <w:kinsoku/>
              <w:wordWrap/>
              <w:overflowPunct/>
              <w:topLinePunct w:val="0"/>
              <w:autoSpaceDE/>
              <w:autoSpaceDN/>
              <w:bidi w:val="0"/>
              <w:adjustRightInd w:val="0"/>
              <w:snapToGrid w:val="0"/>
              <w:spacing w:line="280" w:lineRule="exact"/>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fldChar w:fldCharType="begin"/>
            </w:r>
            <w:r>
              <w:rPr>
                <w:rFonts w:hint="default" w:ascii="Times New Roman" w:hAnsi="Times New Roman" w:cs="Times New Roman"/>
                <w:color w:val="000000" w:themeColor="text1"/>
                <w:sz w:val="21"/>
                <w:szCs w:val="21"/>
                <w14:textFill>
                  <w14:solidFill>
                    <w14:schemeClr w14:val="tx1"/>
                  </w14:solidFill>
                </w14:textFill>
              </w:rPr>
              <w:instrText xml:space="preserve"> = 1 \* GB3 </w:instrText>
            </w:r>
            <w:r>
              <w:rPr>
                <w:rFonts w:hint="default" w:ascii="Times New Roman" w:hAnsi="Times New Roman" w:cs="Times New Roman"/>
                <w:color w:val="000000" w:themeColor="text1"/>
                <w:sz w:val="21"/>
                <w:szCs w:val="21"/>
                <w14:textFill>
                  <w14:solidFill>
                    <w14:schemeClr w14:val="tx1"/>
                  </w14:solidFill>
                </w14:textFill>
              </w:rPr>
              <w:fldChar w:fldCharType="separate"/>
            </w:r>
            <w:r>
              <w:rPr>
                <w:rFonts w:hint="default" w:ascii="Times New Roman" w:hAnsi="Times New Roman" w:cs="Times New Roman"/>
                <w:color w:val="000000" w:themeColor="text1"/>
                <w:sz w:val="21"/>
                <w:szCs w:val="21"/>
                <w14:textFill>
                  <w14:solidFill>
                    <w14:schemeClr w14:val="tx1"/>
                  </w14:solidFill>
                </w14:textFill>
              </w:rPr>
              <w:t>①</w:t>
            </w:r>
            <w:r>
              <w:rPr>
                <w:rFonts w:hint="default" w:ascii="Times New Roman" w:hAnsi="Times New Roman" w:cs="Times New Roman"/>
                <w:color w:val="000000" w:themeColor="text1"/>
                <w:sz w:val="21"/>
                <w:szCs w:val="21"/>
                <w14:textFill>
                  <w14:solidFill>
                    <w14:schemeClr w14:val="tx1"/>
                  </w14:solidFill>
                </w14:textFill>
              </w:rPr>
              <w:fldChar w:fldCharType="end"/>
            </w:r>
            <w:r>
              <w:rPr>
                <w:rFonts w:hint="default" w:ascii="Times New Roman" w:hAnsi="Times New Roman" w:cs="Times New Roman"/>
                <w:color w:val="000000" w:themeColor="text1"/>
                <w:sz w:val="21"/>
                <w:szCs w:val="21"/>
                <w14:textFill>
                  <w14:solidFill>
                    <w14:schemeClr w14:val="tx1"/>
                  </w14:solidFill>
                </w14:textFill>
              </w:rPr>
              <w:t>生活污水经临时</w:t>
            </w:r>
            <w:r>
              <w:rPr>
                <w:rFonts w:hint="eastAsia" w:cs="Times New Roman"/>
                <w:color w:val="000000" w:themeColor="text1"/>
                <w:sz w:val="21"/>
                <w:szCs w:val="21"/>
                <w:lang w:eastAsia="zh-CN"/>
                <w14:textFill>
                  <w14:solidFill>
                    <w14:schemeClr w14:val="tx1"/>
                  </w14:solidFill>
                </w14:textFill>
              </w:rPr>
              <w:t>防渗储集池</w:t>
            </w:r>
            <w:r>
              <w:rPr>
                <w:rFonts w:hint="default" w:ascii="Times New Roman" w:hAnsi="Times New Roman" w:cs="Times New Roman"/>
                <w:color w:val="000000" w:themeColor="text1"/>
                <w:sz w:val="21"/>
                <w:szCs w:val="21"/>
                <w14:textFill>
                  <w14:solidFill>
                    <w14:schemeClr w14:val="tx1"/>
                  </w14:solidFill>
                </w14:textFill>
              </w:rPr>
              <w:t>收集和暂存，定期由吸污车拉运至</w:t>
            </w:r>
            <w:r>
              <w:rPr>
                <w:rFonts w:hint="eastAsia" w:cs="Times New Roman"/>
                <w:color w:val="000000" w:themeColor="text1"/>
                <w:sz w:val="21"/>
                <w:szCs w:val="21"/>
                <w:lang w:eastAsia="zh-CN"/>
                <w14:textFill>
                  <w14:solidFill>
                    <w14:schemeClr w14:val="tx1"/>
                  </w14:solidFill>
                </w14:textFill>
              </w:rPr>
              <w:t>呼图壁县丰泉污水处理厂</w:t>
            </w:r>
            <w:r>
              <w:rPr>
                <w:rFonts w:hint="default" w:ascii="Times New Roman" w:hAnsi="Times New Roman" w:cs="Times New Roman"/>
                <w:color w:val="000000" w:themeColor="text1"/>
                <w:sz w:val="21"/>
                <w:szCs w:val="21"/>
                <w14:textFill>
                  <w14:solidFill>
                    <w14:schemeClr w14:val="tx1"/>
                  </w14:solidFill>
                </w14:textFill>
              </w:rPr>
              <w:t>；</w:t>
            </w:r>
          </w:p>
          <w:p>
            <w:pPr>
              <w:keepNext w:val="0"/>
              <w:keepLines w:val="0"/>
              <w:pageBreakBefore w:val="0"/>
              <w:kinsoku/>
              <w:wordWrap/>
              <w:overflowPunct/>
              <w:topLinePunct w:val="0"/>
              <w:autoSpaceDE/>
              <w:autoSpaceDN/>
              <w:bidi w:val="0"/>
              <w:adjustRightInd w:val="0"/>
              <w:snapToGrid w:val="0"/>
              <w:spacing w:line="280" w:lineRule="exact"/>
              <w:textAlignment w:val="auto"/>
              <w:outlineLvl w:val="9"/>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②洗井废水和压裂返排液收集至专用储罐后由罐车拉运至石西集中处理站采出水处理系统处理</w:t>
            </w:r>
          </w:p>
        </w:tc>
        <w:tc>
          <w:tcPr>
            <w:tcW w:w="1148" w:type="pct"/>
            <w:shd w:val="clear" w:color="auto" w:fill="auto"/>
            <w:vAlign w:val="center"/>
          </w:tcPr>
          <w:p>
            <w:pPr>
              <w:keepNext w:val="0"/>
              <w:keepLines w:val="0"/>
              <w:pageBreakBefore w:val="0"/>
              <w:kinsoku/>
              <w:wordWrap/>
              <w:overflowPunct/>
              <w:topLinePunct w:val="0"/>
              <w:autoSpaceDE/>
              <w:autoSpaceDN/>
              <w:bidi w:val="0"/>
              <w:adjustRightInd w:val="0"/>
              <w:snapToGrid w:val="0"/>
              <w:spacing w:line="280" w:lineRule="exact"/>
              <w:textAlignment w:val="auto"/>
              <w:outlineLvl w:val="9"/>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验收现场无</w:t>
            </w:r>
            <w:r>
              <w:rPr>
                <w:rFonts w:hint="default" w:ascii="Times New Roman" w:hAnsi="Times New Roman" w:cs="Times New Roman"/>
                <w:color w:val="000000" w:themeColor="text1"/>
                <w:sz w:val="21"/>
                <w:szCs w:val="21"/>
                <w:lang w:val="en-US" w:eastAsia="zh-CN"/>
                <w14:textFill>
                  <w14:solidFill>
                    <w14:schemeClr w14:val="tx1"/>
                  </w14:solidFill>
                </w14:textFill>
              </w:rPr>
              <w:t>废水遗留；具有</w:t>
            </w:r>
            <w:r>
              <w:rPr>
                <w:rFonts w:hint="eastAsia" w:cs="Times New Roman"/>
                <w:color w:val="000000" w:themeColor="text1"/>
                <w:sz w:val="21"/>
                <w:szCs w:val="21"/>
                <w:lang w:val="en-US" w:eastAsia="zh-CN"/>
                <w14:textFill>
                  <w14:solidFill>
                    <w14:schemeClr w14:val="tx1"/>
                  </w14:solidFill>
                </w14:textFill>
              </w:rPr>
              <w:t>污水</w:t>
            </w:r>
            <w:r>
              <w:rPr>
                <w:rFonts w:hint="default" w:ascii="Times New Roman" w:hAnsi="Times New Roman" w:cs="Times New Roman"/>
                <w:color w:val="000000" w:themeColor="text1"/>
                <w:sz w:val="21"/>
                <w:szCs w:val="21"/>
                <w:lang w:val="en-US" w:eastAsia="zh-CN"/>
                <w14:textFill>
                  <w14:solidFill>
                    <w14:schemeClr w14:val="tx1"/>
                  </w14:solidFill>
                </w14:textFill>
              </w:rPr>
              <w:t>清运协议</w:t>
            </w:r>
          </w:p>
        </w:tc>
        <w:tc>
          <w:tcPr>
            <w:tcW w:w="502"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378"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634"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地下水及土壤环境</w:t>
            </w:r>
          </w:p>
        </w:tc>
        <w:tc>
          <w:tcPr>
            <w:tcW w:w="2336" w:type="pct"/>
            <w:vAlign w:val="center"/>
          </w:tcPr>
          <w:p>
            <w:pPr>
              <w:keepNext w:val="0"/>
              <w:keepLines w:val="0"/>
              <w:pageBreakBefore w:val="0"/>
              <w:kinsoku/>
              <w:wordWrap/>
              <w:overflowPunct/>
              <w:topLinePunct w:val="0"/>
              <w:autoSpaceDE/>
              <w:autoSpaceDN/>
              <w:bidi w:val="0"/>
              <w:adjustRightInd w:val="0"/>
              <w:snapToGrid w:val="0"/>
              <w:spacing w:line="280" w:lineRule="exact"/>
              <w:textAlignment w:val="auto"/>
              <w:outlineLvl w:val="9"/>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①</w:t>
            </w:r>
            <w:r>
              <w:rPr>
                <w:rFonts w:hint="eastAsia" w:cs="Times New Roman"/>
                <w:color w:val="000000" w:themeColor="text1"/>
                <w:sz w:val="21"/>
                <w:szCs w:val="21"/>
                <w:lang w:val="en-US" w:eastAsia="zh-CN"/>
                <w14:textFill>
                  <w14:solidFill>
                    <w14:schemeClr w14:val="tx1"/>
                  </w14:solidFill>
                </w14:textFill>
              </w:rPr>
              <w:t>采取</w:t>
            </w:r>
            <w:r>
              <w:rPr>
                <w:rFonts w:hint="default" w:ascii="Times New Roman" w:hAnsi="Times New Roman" w:cs="Times New Roman"/>
                <w:color w:val="000000" w:themeColor="text1"/>
                <w:sz w:val="21"/>
                <w:szCs w:val="21"/>
                <w:lang w:val="en-US" w:eastAsia="zh-CN"/>
                <w14:textFill>
                  <w14:solidFill>
                    <w14:schemeClr w14:val="tx1"/>
                  </w14:solidFill>
                </w14:textFill>
              </w:rPr>
              <w:t>分区防渗</w:t>
            </w:r>
            <w:r>
              <w:rPr>
                <w:rFonts w:hint="eastAsia" w:cs="Times New Roman"/>
                <w:color w:val="000000" w:themeColor="text1"/>
                <w:sz w:val="21"/>
                <w:szCs w:val="21"/>
                <w:lang w:val="en-US" w:eastAsia="zh-CN"/>
                <w14:textFill>
                  <w14:solidFill>
                    <w14:schemeClr w14:val="tx1"/>
                  </w14:solidFill>
                </w14:textFill>
              </w:rPr>
              <w:t>措施</w:t>
            </w:r>
            <w:r>
              <w:rPr>
                <w:rFonts w:hint="default" w:ascii="Times New Roman" w:hAnsi="Times New Roman" w:cs="Times New Roman"/>
                <w:color w:val="000000" w:themeColor="text1"/>
                <w:sz w:val="21"/>
                <w:szCs w:val="21"/>
                <w:lang w:val="en-US"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钻井、试油废水</w:t>
            </w:r>
            <w:r>
              <w:rPr>
                <w:rFonts w:hint="default" w:ascii="Times New Roman" w:hAnsi="Times New Roman" w:cs="Times New Roman"/>
                <w:color w:val="000000" w:themeColor="text1"/>
                <w:sz w:val="21"/>
                <w:szCs w:val="21"/>
                <w:lang w:val="en-US" w:eastAsia="zh-CN"/>
                <w14:textFill>
                  <w14:solidFill>
                    <w14:schemeClr w14:val="tx1"/>
                  </w14:solidFill>
                </w14:textFill>
              </w:rPr>
              <w:t>进罐收集后</w:t>
            </w:r>
            <w:r>
              <w:rPr>
                <w:rFonts w:hint="eastAsia" w:cs="Times New Roman"/>
                <w:color w:val="000000" w:themeColor="text1"/>
                <w:sz w:val="21"/>
                <w:szCs w:val="21"/>
                <w:lang w:val="en-US" w:eastAsia="zh-CN"/>
                <w14:textFill>
                  <w14:solidFill>
                    <w14:schemeClr w14:val="tx1"/>
                  </w14:solidFill>
                </w14:textFill>
              </w:rPr>
              <w:t>及时</w:t>
            </w:r>
            <w:r>
              <w:rPr>
                <w:rFonts w:hint="default" w:ascii="Times New Roman" w:hAnsi="Times New Roman" w:cs="Times New Roman"/>
                <w:color w:val="000000" w:themeColor="text1"/>
                <w:sz w:val="21"/>
                <w:szCs w:val="21"/>
                <w:lang w:val="en-US" w:eastAsia="zh-CN"/>
                <w14:textFill>
                  <w14:solidFill>
                    <w14:schemeClr w14:val="tx1"/>
                  </w14:solidFill>
                </w14:textFill>
              </w:rPr>
              <w:t>清运，</w:t>
            </w:r>
            <w:r>
              <w:rPr>
                <w:rFonts w:hint="eastAsia" w:cs="Times New Roman"/>
                <w:color w:val="000000" w:themeColor="text1"/>
                <w:sz w:val="21"/>
                <w:szCs w:val="21"/>
                <w:lang w:val="en-US" w:eastAsia="zh-CN"/>
                <w14:textFill>
                  <w14:solidFill>
                    <w14:schemeClr w14:val="tx1"/>
                  </w14:solidFill>
                </w14:textFill>
              </w:rPr>
              <w:t>禁止</w:t>
            </w:r>
            <w:r>
              <w:rPr>
                <w:rFonts w:hint="default" w:ascii="Times New Roman" w:hAnsi="Times New Roman" w:cs="Times New Roman"/>
                <w:color w:val="000000" w:themeColor="text1"/>
                <w:sz w:val="21"/>
                <w:szCs w:val="21"/>
                <w:lang w:val="en-US" w:eastAsia="zh-CN"/>
                <w14:textFill>
                  <w14:solidFill>
                    <w14:schemeClr w14:val="tx1"/>
                  </w14:solidFill>
                </w14:textFill>
              </w:rPr>
              <w:t>外排；</w:t>
            </w:r>
            <w:r>
              <w:rPr>
                <w:rFonts w:hint="eastAsia" w:cs="Times New Roman"/>
                <w:color w:val="000000" w:themeColor="text1"/>
                <w:sz w:val="21"/>
                <w:szCs w:val="21"/>
                <w:lang w:val="en-US" w:eastAsia="zh-CN"/>
                <w14:textFill>
                  <w14:solidFill>
                    <w14:schemeClr w14:val="tx1"/>
                  </w14:solidFill>
                </w14:textFill>
              </w:rPr>
              <w:t>岩屑进罐及时委托清运处置，罐区采取防渗措施</w:t>
            </w:r>
            <w:r>
              <w:rPr>
                <w:rFonts w:hint="eastAsia" w:cs="Times New Roman"/>
                <w:color w:val="auto"/>
                <w:sz w:val="21"/>
                <w:szCs w:val="21"/>
                <w:lang w:val="en-US" w:eastAsia="zh-CN"/>
              </w:rPr>
              <w:t>，设置围堰；</w:t>
            </w:r>
            <w:r>
              <w:rPr>
                <w:rFonts w:hint="eastAsia" w:cs="Times New Roman"/>
                <w:color w:val="000000" w:themeColor="text1"/>
                <w:sz w:val="21"/>
                <w:szCs w:val="21"/>
                <w:lang w:val="en-US" w:eastAsia="zh-CN"/>
                <w14:textFill>
                  <w14:solidFill>
                    <w14:schemeClr w14:val="tx1"/>
                  </w14:solidFill>
                </w14:textFill>
              </w:rPr>
              <w:t>危险废物贮存点采取防渗措施，危废及时委托清运处置；</w:t>
            </w:r>
          </w:p>
          <w:p>
            <w:pPr>
              <w:keepNext w:val="0"/>
              <w:keepLines w:val="0"/>
              <w:pageBreakBefore w:val="0"/>
              <w:kinsoku/>
              <w:wordWrap/>
              <w:overflowPunct/>
              <w:topLinePunct w:val="0"/>
              <w:autoSpaceDE/>
              <w:autoSpaceDN/>
              <w:bidi w:val="0"/>
              <w:adjustRightInd w:val="0"/>
              <w:snapToGrid w:val="0"/>
              <w:spacing w:line="280" w:lineRule="exact"/>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②生活营地污水收集池进行防渗，并定期清运污水，污水不外排</w:t>
            </w:r>
          </w:p>
        </w:tc>
        <w:tc>
          <w:tcPr>
            <w:tcW w:w="1148" w:type="pct"/>
            <w:vAlign w:val="center"/>
          </w:tcPr>
          <w:p>
            <w:pPr>
              <w:keepNext w:val="0"/>
              <w:keepLines w:val="0"/>
              <w:pageBreakBefore w:val="0"/>
              <w:kinsoku/>
              <w:wordWrap/>
              <w:overflowPunct/>
              <w:topLinePunct w:val="0"/>
              <w:autoSpaceDE/>
              <w:autoSpaceDN/>
              <w:bidi w:val="0"/>
              <w:adjustRightInd w:val="0"/>
              <w:snapToGrid w:val="0"/>
              <w:spacing w:line="280" w:lineRule="exact"/>
              <w:textAlignment w:val="auto"/>
              <w:outlineLvl w:val="9"/>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验收现场无污水</w:t>
            </w:r>
            <w:r>
              <w:rPr>
                <w:rFonts w:hint="eastAsia" w:cs="Times New Roman"/>
                <w:color w:val="000000" w:themeColor="text1"/>
                <w:sz w:val="21"/>
                <w:szCs w:val="21"/>
                <w:lang w:val="en-US" w:eastAsia="zh-CN"/>
                <w14:textFill>
                  <w14:solidFill>
                    <w14:schemeClr w14:val="tx1"/>
                  </w14:solidFill>
                </w14:textFill>
              </w:rPr>
              <w:t>排放痕迹</w:t>
            </w:r>
            <w:r>
              <w:rPr>
                <w:rFonts w:hint="default" w:ascii="Times New Roman" w:hAnsi="Times New Roman" w:cs="Times New Roman"/>
                <w:color w:val="000000" w:themeColor="text1"/>
                <w:sz w:val="21"/>
                <w:szCs w:val="21"/>
                <w:lang w:val="en-US"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无固废遗留，</w:t>
            </w:r>
            <w:r>
              <w:rPr>
                <w:rFonts w:hint="default" w:ascii="Times New Roman" w:hAnsi="Times New Roman" w:cs="Times New Roman"/>
                <w:color w:val="000000" w:themeColor="text1"/>
                <w:sz w:val="21"/>
                <w:szCs w:val="21"/>
                <w:lang w:val="en-US" w:eastAsia="zh-CN"/>
                <w14:textFill>
                  <w14:solidFill>
                    <w14:schemeClr w14:val="tx1"/>
                  </w14:solidFill>
                </w14:textFill>
              </w:rPr>
              <w:t>无地下水及土壤污染事件发生</w:t>
            </w:r>
          </w:p>
        </w:tc>
        <w:tc>
          <w:tcPr>
            <w:tcW w:w="502"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378"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634"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声环境</w:t>
            </w:r>
          </w:p>
        </w:tc>
        <w:tc>
          <w:tcPr>
            <w:tcW w:w="2336" w:type="pct"/>
            <w:vAlign w:val="center"/>
          </w:tcPr>
          <w:p>
            <w:pPr>
              <w:keepNext w:val="0"/>
              <w:keepLines w:val="0"/>
              <w:pageBreakBefore w:val="0"/>
              <w:kinsoku/>
              <w:wordWrap/>
              <w:overflowPunct/>
              <w:topLinePunct w:val="0"/>
              <w:autoSpaceDE/>
              <w:autoSpaceDN/>
              <w:bidi w:val="0"/>
              <w:adjustRightInd w:val="0"/>
              <w:snapToGrid w:val="0"/>
              <w:spacing w:line="280" w:lineRule="exact"/>
              <w:jc w:val="left"/>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①</w:t>
            </w:r>
            <w:r>
              <w:rPr>
                <w:rFonts w:hint="default" w:ascii="Times New Roman" w:hAnsi="Times New Roman" w:cs="Times New Roman"/>
                <w:color w:val="000000" w:themeColor="text1"/>
                <w:sz w:val="21"/>
                <w:szCs w:val="21"/>
                <w14:textFill>
                  <w14:solidFill>
                    <w14:schemeClr w14:val="tx1"/>
                  </w14:solidFill>
                </w14:textFill>
              </w:rPr>
              <w:t>在设备选型上要求采用低噪声的设备，施工设备定期检查维修，对噪声较大的设备采取基础减震措施；</w:t>
            </w:r>
          </w:p>
          <w:p>
            <w:pPr>
              <w:keepNext w:val="0"/>
              <w:keepLines w:val="0"/>
              <w:pageBreakBefore w:val="0"/>
              <w:kinsoku/>
              <w:wordWrap/>
              <w:overflowPunct/>
              <w:topLinePunct w:val="0"/>
              <w:autoSpaceDE/>
              <w:autoSpaceDN/>
              <w:bidi w:val="0"/>
              <w:adjustRightInd w:val="0"/>
              <w:snapToGrid w:val="0"/>
              <w:spacing w:line="280" w:lineRule="exact"/>
              <w:jc w:val="left"/>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②</w:t>
            </w:r>
            <w:r>
              <w:rPr>
                <w:rFonts w:hint="default" w:ascii="Times New Roman" w:hAnsi="Times New Roman" w:cs="Times New Roman"/>
                <w:color w:val="000000" w:themeColor="text1"/>
                <w:sz w:val="21"/>
                <w:szCs w:val="21"/>
                <w14:textFill>
                  <w14:solidFill>
                    <w14:schemeClr w14:val="tx1"/>
                  </w14:solidFill>
                </w14:textFill>
              </w:rPr>
              <w:t>加强施工场地管理，合理疏导进入施工区的车辆，禁止运输车辆随意高声鸣笛</w:t>
            </w:r>
          </w:p>
        </w:tc>
        <w:tc>
          <w:tcPr>
            <w:tcW w:w="1148"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502"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378"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634"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振动</w:t>
            </w:r>
          </w:p>
        </w:tc>
        <w:tc>
          <w:tcPr>
            <w:tcW w:w="2336"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1148"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502"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378"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634"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大气环境</w:t>
            </w:r>
          </w:p>
        </w:tc>
        <w:tc>
          <w:tcPr>
            <w:tcW w:w="2336" w:type="pct"/>
            <w:vAlign w:val="center"/>
          </w:tcPr>
          <w:p>
            <w:pPr>
              <w:keepNext w:val="0"/>
              <w:keepLines w:val="0"/>
              <w:pageBreakBefore w:val="0"/>
              <w:kinsoku/>
              <w:wordWrap/>
              <w:overflowPunct/>
              <w:topLinePunct w:val="0"/>
              <w:autoSpaceDE/>
              <w:autoSpaceDN/>
              <w:bidi w:val="0"/>
              <w:adjustRightInd w:val="0"/>
              <w:snapToGrid w:val="0"/>
              <w:spacing w:line="280" w:lineRule="exact"/>
              <w:jc w:val="left"/>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①使用</w:t>
            </w:r>
            <w:r>
              <w:rPr>
                <w:rFonts w:hint="default" w:ascii="Times New Roman" w:hAnsi="Times New Roman" w:cs="Times New Roman"/>
                <w:color w:val="000000" w:themeColor="text1"/>
                <w:sz w:val="21"/>
                <w:szCs w:val="21"/>
                <w:lang w:val="en-US" w:eastAsia="zh-CN"/>
                <w14:textFill>
                  <w14:solidFill>
                    <w14:schemeClr w14:val="tx1"/>
                  </w14:solidFill>
                </w14:textFill>
              </w:rPr>
              <w:t>符合国家标准的合格</w:t>
            </w:r>
            <w:r>
              <w:rPr>
                <w:rFonts w:hint="default" w:ascii="Times New Roman" w:hAnsi="Times New Roman" w:cs="Times New Roman"/>
                <w:color w:val="000000" w:themeColor="text1"/>
                <w:sz w:val="21"/>
                <w:szCs w:val="21"/>
                <w14:textFill>
                  <w14:solidFill>
                    <w14:schemeClr w14:val="tx1"/>
                  </w14:solidFill>
                </w14:textFill>
              </w:rPr>
              <w:t>油品</w:t>
            </w:r>
            <w:r>
              <w:rPr>
                <w:rFonts w:hint="default" w:ascii="Times New Roman" w:hAnsi="Times New Roman" w:cs="Times New Roman"/>
                <w:color w:val="000000" w:themeColor="text1"/>
                <w:sz w:val="21"/>
                <w:szCs w:val="21"/>
                <w:lang w:val="en-US" w:eastAsia="zh-CN"/>
                <w14:textFill>
                  <w14:solidFill>
                    <w14:schemeClr w14:val="tx1"/>
                  </w14:solidFill>
                </w14:textFill>
              </w:rPr>
              <w:t>作为燃料</w:t>
            </w:r>
            <w:r>
              <w:rPr>
                <w:rFonts w:hint="default" w:ascii="Times New Roman" w:hAnsi="Times New Roman" w:cs="Times New Roman"/>
                <w:color w:val="000000" w:themeColor="text1"/>
                <w:sz w:val="21"/>
                <w:szCs w:val="21"/>
                <w14:textFill>
                  <w14:solidFill>
                    <w14:schemeClr w14:val="tx1"/>
                  </w14:solidFill>
                </w14:textFill>
              </w:rPr>
              <w:t>，加强</w:t>
            </w:r>
            <w:r>
              <w:rPr>
                <w:rFonts w:hint="default" w:ascii="Times New Roman" w:hAnsi="Times New Roman" w:cs="Times New Roman"/>
                <w:color w:val="000000" w:themeColor="text1"/>
                <w:sz w:val="21"/>
                <w:szCs w:val="21"/>
                <w:lang w:val="en-US" w:eastAsia="zh-CN"/>
                <w14:textFill>
                  <w14:solidFill>
                    <w14:schemeClr w14:val="tx1"/>
                  </w14:solidFill>
                </w14:textFill>
              </w:rPr>
              <w:t>施工</w:t>
            </w:r>
            <w:r>
              <w:rPr>
                <w:rFonts w:hint="default" w:ascii="Times New Roman" w:hAnsi="Times New Roman" w:cs="Times New Roman"/>
                <w:color w:val="000000" w:themeColor="text1"/>
                <w:sz w:val="21"/>
                <w:szCs w:val="21"/>
                <w14:textFill>
                  <w14:solidFill>
                    <w14:schemeClr w14:val="tx1"/>
                  </w14:solidFill>
                </w14:textFill>
              </w:rPr>
              <w:t>设备</w:t>
            </w:r>
            <w:r>
              <w:rPr>
                <w:rFonts w:hint="default" w:ascii="Times New Roman" w:hAnsi="Times New Roman" w:cs="Times New Roman"/>
                <w:color w:val="000000" w:themeColor="text1"/>
                <w:sz w:val="21"/>
                <w:szCs w:val="21"/>
                <w:lang w:val="en-US" w:eastAsia="zh-CN"/>
                <w14:textFill>
                  <w14:solidFill>
                    <w14:schemeClr w14:val="tx1"/>
                  </w14:solidFill>
                </w14:textFill>
              </w:rPr>
              <w:t>和车辆的</w:t>
            </w:r>
            <w:r>
              <w:rPr>
                <w:rFonts w:hint="default" w:ascii="Times New Roman" w:hAnsi="Times New Roman" w:cs="Times New Roman"/>
                <w:color w:val="000000" w:themeColor="text1"/>
                <w:sz w:val="21"/>
                <w:szCs w:val="21"/>
                <w14:textFill>
                  <w14:solidFill>
                    <w14:schemeClr w14:val="tx1"/>
                  </w14:solidFill>
                </w14:textFill>
              </w:rPr>
              <w:t>维护</w:t>
            </w:r>
            <w:r>
              <w:rPr>
                <w:rFonts w:hint="default" w:ascii="Times New Roman" w:hAnsi="Times New Roman" w:cs="Times New Roman"/>
                <w:color w:val="000000" w:themeColor="text1"/>
                <w:sz w:val="21"/>
                <w:szCs w:val="21"/>
                <w:lang w:val="en-US" w:eastAsia="zh-CN"/>
                <w14:textFill>
                  <w14:solidFill>
                    <w14:schemeClr w14:val="tx1"/>
                  </w14:solidFill>
                </w14:textFill>
              </w:rPr>
              <w:t>和保养</w:t>
            </w:r>
            <w:r>
              <w:rPr>
                <w:rFonts w:hint="default" w:ascii="Times New Roman" w:hAnsi="Times New Roman" w:cs="Times New Roman"/>
                <w:color w:val="000000" w:themeColor="text1"/>
                <w:sz w:val="21"/>
                <w:szCs w:val="21"/>
                <w14:textFill>
                  <w14:solidFill>
                    <w14:schemeClr w14:val="tx1"/>
                  </w14:solidFill>
                </w14:textFill>
              </w:rPr>
              <w:t>；</w:t>
            </w:r>
          </w:p>
          <w:p>
            <w:pPr>
              <w:keepNext w:val="0"/>
              <w:keepLines w:val="0"/>
              <w:pageBreakBefore w:val="0"/>
              <w:kinsoku/>
              <w:wordWrap/>
              <w:overflowPunct/>
              <w:topLinePunct w:val="0"/>
              <w:autoSpaceDE/>
              <w:autoSpaceDN/>
              <w:bidi w:val="0"/>
              <w:adjustRightInd w:val="0"/>
              <w:snapToGrid w:val="0"/>
              <w:spacing w:line="280" w:lineRule="exact"/>
              <w:jc w:val="left"/>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②试油期产生的伴生气</w:t>
            </w:r>
            <w:r>
              <w:rPr>
                <w:rFonts w:hint="eastAsia" w:cs="Times New Roman"/>
                <w:color w:val="000000" w:themeColor="text1"/>
                <w:sz w:val="21"/>
                <w:szCs w:val="21"/>
                <w:lang w:val="en-US" w:eastAsia="zh-CN"/>
                <w14:textFill>
                  <w14:solidFill>
                    <w14:schemeClr w14:val="tx1"/>
                  </w14:solidFill>
                </w14:textFill>
              </w:rPr>
              <w:t>如</w:t>
            </w:r>
            <w:r>
              <w:rPr>
                <w:rFonts w:hint="default" w:ascii="Times New Roman" w:hAnsi="Times New Roman" w:cs="Times New Roman"/>
                <w:color w:val="000000" w:themeColor="text1"/>
                <w:sz w:val="21"/>
                <w:szCs w:val="21"/>
                <w14:textFill>
                  <w14:solidFill>
                    <w14:schemeClr w14:val="tx1"/>
                  </w14:solidFill>
                </w14:textFill>
              </w:rPr>
              <w:t>不具备回收条件，</w:t>
            </w:r>
            <w:r>
              <w:rPr>
                <w:rFonts w:hint="default" w:ascii="Times New Roman" w:hAnsi="Times New Roman" w:cs="Times New Roman"/>
                <w:color w:val="000000" w:themeColor="text1"/>
                <w:sz w:val="21"/>
                <w:szCs w:val="21"/>
                <w:lang w:val="en-US" w:eastAsia="zh-CN"/>
                <w14:textFill>
                  <w14:solidFill>
                    <w14:schemeClr w14:val="tx1"/>
                  </w14:solidFill>
                </w14:textFill>
              </w:rPr>
              <w:t>必须</w:t>
            </w:r>
            <w:r>
              <w:rPr>
                <w:rFonts w:hint="default" w:ascii="Times New Roman" w:hAnsi="Times New Roman" w:cs="Times New Roman"/>
                <w:color w:val="000000" w:themeColor="text1"/>
                <w:sz w:val="21"/>
                <w:szCs w:val="21"/>
                <w14:textFill>
                  <w14:solidFill>
                    <w14:schemeClr w14:val="tx1"/>
                  </w14:solidFill>
                </w14:textFill>
              </w:rPr>
              <w:t>经排气管线充分燃烧后排放</w:t>
            </w:r>
            <w:r>
              <w:rPr>
                <w:rFonts w:hint="default" w:ascii="Times New Roman" w:hAnsi="Times New Roman"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lang w:val="en-US" w:eastAsia="zh-CN"/>
                <w14:textFill>
                  <w14:solidFill>
                    <w14:schemeClr w14:val="tx1"/>
                  </w14:solidFill>
                </w14:textFill>
              </w:rPr>
              <w:t>严禁不燃烧排放</w:t>
            </w:r>
            <w:r>
              <w:rPr>
                <w:rFonts w:hint="default" w:ascii="Times New Roman" w:hAnsi="Times New Roman" w:cs="Times New Roman"/>
                <w:color w:val="000000" w:themeColor="text1"/>
                <w:sz w:val="21"/>
                <w:szCs w:val="21"/>
                <w14:textFill>
                  <w14:solidFill>
                    <w14:schemeClr w14:val="tx1"/>
                  </w14:solidFill>
                </w14:textFill>
              </w:rPr>
              <w:t>；</w:t>
            </w:r>
          </w:p>
          <w:p>
            <w:pPr>
              <w:keepNext w:val="0"/>
              <w:keepLines w:val="0"/>
              <w:pageBreakBefore w:val="0"/>
              <w:kinsoku/>
              <w:wordWrap/>
              <w:overflowPunct/>
              <w:topLinePunct w:val="0"/>
              <w:autoSpaceDE/>
              <w:autoSpaceDN/>
              <w:bidi w:val="0"/>
              <w:adjustRightInd w:val="0"/>
              <w:snapToGrid w:val="0"/>
              <w:spacing w:line="280" w:lineRule="exact"/>
              <w:jc w:val="left"/>
              <w:textAlignment w:val="auto"/>
              <w:outlineLvl w:val="9"/>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③加强车辆管理</w:t>
            </w:r>
            <w:r>
              <w:rPr>
                <w:rFonts w:hint="default" w:ascii="Times New Roman" w:hAnsi="Times New Roman"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lang w:val="en-US" w:eastAsia="zh-CN"/>
                <w14:textFill>
                  <w14:solidFill>
                    <w14:schemeClr w14:val="tx1"/>
                  </w14:solidFill>
                </w14:textFill>
              </w:rPr>
              <w:t>对易起尘物料在运输和存放时加盖遮盖物，合理安排施工时间，</w:t>
            </w:r>
            <w:r>
              <w:rPr>
                <w:rFonts w:hint="default" w:ascii="Times New Roman" w:hAnsi="Times New Roman" w:cs="Times New Roman"/>
                <w:color w:val="000000" w:themeColor="text1"/>
                <w:sz w:val="21"/>
                <w:szCs w:val="21"/>
                <w14:textFill>
                  <w14:solidFill>
                    <w14:schemeClr w14:val="tx1"/>
                  </w14:solidFill>
                </w14:textFill>
              </w:rPr>
              <w:t>避免大风</w:t>
            </w:r>
            <w:r>
              <w:rPr>
                <w:rFonts w:hint="default" w:ascii="Times New Roman" w:hAnsi="Times New Roman" w:cs="Times New Roman"/>
                <w:color w:val="000000" w:themeColor="text1"/>
                <w:sz w:val="21"/>
                <w:szCs w:val="21"/>
                <w:lang w:val="en-US" w:eastAsia="zh-CN"/>
                <w14:textFill>
                  <w14:solidFill>
                    <w14:schemeClr w14:val="tx1"/>
                  </w14:solidFill>
                </w14:textFill>
              </w:rPr>
              <w:t>天气</w:t>
            </w:r>
            <w:r>
              <w:rPr>
                <w:rFonts w:hint="default" w:ascii="Times New Roman" w:hAnsi="Times New Roman" w:cs="Times New Roman"/>
                <w:color w:val="000000" w:themeColor="text1"/>
                <w:sz w:val="21"/>
                <w:szCs w:val="21"/>
                <w14:textFill>
                  <w14:solidFill>
                    <w14:schemeClr w14:val="tx1"/>
                  </w14:solidFill>
                </w14:textFill>
              </w:rPr>
              <w:t>作业</w:t>
            </w:r>
            <w:r>
              <w:rPr>
                <w:rFonts w:hint="eastAsia" w:cs="Times New Roman"/>
                <w:color w:val="000000" w:themeColor="text1"/>
                <w:sz w:val="21"/>
                <w:szCs w:val="21"/>
                <w:lang w:eastAsia="zh-CN"/>
                <w14:textFill>
                  <w14:solidFill>
                    <w14:schemeClr w14:val="tx1"/>
                  </w14:solidFill>
                </w14:textFill>
              </w:rPr>
              <w:t>；</w:t>
            </w:r>
          </w:p>
          <w:p>
            <w:pPr>
              <w:keepNext w:val="0"/>
              <w:keepLines w:val="0"/>
              <w:pageBreakBefore w:val="0"/>
              <w:kinsoku/>
              <w:wordWrap/>
              <w:overflowPunct/>
              <w:topLinePunct w:val="0"/>
              <w:autoSpaceDE/>
              <w:autoSpaceDN/>
              <w:bidi w:val="0"/>
              <w:adjustRightInd w:val="0"/>
              <w:snapToGrid w:val="0"/>
              <w:spacing w:line="280" w:lineRule="exact"/>
              <w:jc w:val="left"/>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④柴油</w:t>
            </w:r>
            <w:r>
              <w:rPr>
                <w:rFonts w:hint="default" w:ascii="Times New Roman" w:hAnsi="Times New Roman" w:cs="Times New Roman"/>
                <w:color w:val="000000" w:themeColor="text1"/>
                <w:sz w:val="21"/>
                <w:szCs w:val="21"/>
                <w:lang w:val="en-US" w:eastAsia="zh-CN"/>
                <w14:textFill>
                  <w14:solidFill>
                    <w14:schemeClr w14:val="tx1"/>
                  </w14:solidFill>
                </w14:textFill>
              </w:rPr>
              <w:t>采用</w:t>
            </w:r>
            <w:r>
              <w:rPr>
                <w:rFonts w:hint="eastAsia" w:cs="Times New Roman"/>
                <w:color w:val="000000" w:themeColor="text1"/>
                <w:sz w:val="21"/>
                <w:szCs w:val="21"/>
                <w:lang w:val="en-US" w:eastAsia="zh-CN"/>
                <w14:textFill>
                  <w14:solidFill>
                    <w14:schemeClr w14:val="tx1"/>
                  </w14:solidFill>
                </w14:textFill>
              </w:rPr>
              <w:t>储罐</w:t>
            </w:r>
            <w:r>
              <w:rPr>
                <w:rFonts w:hint="default" w:ascii="Times New Roman" w:hAnsi="Times New Roman" w:cs="Times New Roman"/>
                <w:color w:val="000000" w:themeColor="text1"/>
                <w:sz w:val="21"/>
                <w:szCs w:val="21"/>
                <w:lang w:val="en-US" w:eastAsia="zh-CN"/>
                <w14:textFill>
                  <w14:solidFill>
                    <w14:schemeClr w14:val="tx1"/>
                  </w14:solidFill>
                </w14:textFill>
              </w:rPr>
              <w:t>密闭储存；</w:t>
            </w:r>
          </w:p>
          <w:p>
            <w:pPr>
              <w:keepNext w:val="0"/>
              <w:keepLines w:val="0"/>
              <w:pageBreakBefore w:val="0"/>
              <w:kinsoku/>
              <w:wordWrap/>
              <w:overflowPunct/>
              <w:topLinePunct w:val="0"/>
              <w:autoSpaceDE/>
              <w:autoSpaceDN/>
              <w:bidi w:val="0"/>
              <w:adjustRightInd w:val="0"/>
              <w:snapToGrid w:val="0"/>
              <w:spacing w:line="280" w:lineRule="exact"/>
              <w:jc w:val="left"/>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⑤加强采出液储罐管理、采取密闭装载方式。</w:t>
            </w:r>
          </w:p>
        </w:tc>
        <w:tc>
          <w:tcPr>
            <w:tcW w:w="1148" w:type="pct"/>
            <w:vAlign w:val="center"/>
          </w:tcPr>
          <w:p>
            <w:pPr>
              <w:keepNext w:val="0"/>
              <w:keepLines w:val="0"/>
              <w:pageBreakBefore w:val="0"/>
              <w:kinsoku/>
              <w:wordWrap/>
              <w:overflowPunct/>
              <w:topLinePunct w:val="0"/>
              <w:autoSpaceDE/>
              <w:autoSpaceDN/>
              <w:bidi w:val="0"/>
              <w:adjustRightInd w:val="0"/>
              <w:snapToGrid w:val="0"/>
              <w:spacing w:line="280" w:lineRule="exact"/>
              <w:ind w:left="210" w:hanging="210" w:hangingChars="100"/>
              <w:jc w:val="both"/>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验收</w:t>
            </w:r>
            <w:r>
              <w:rPr>
                <w:rFonts w:hint="default" w:ascii="Times New Roman" w:hAnsi="Times New Roman" w:cs="Times New Roman"/>
                <w:color w:val="000000" w:themeColor="text1"/>
                <w:sz w:val="21"/>
                <w:szCs w:val="21"/>
                <w:lang w:val="en-US" w:eastAsia="zh-CN"/>
                <w14:textFill>
                  <w14:solidFill>
                    <w14:schemeClr w14:val="tx1"/>
                  </w14:solidFill>
                </w14:textFill>
              </w:rPr>
              <w:t>时</w:t>
            </w:r>
            <w:r>
              <w:rPr>
                <w:rFonts w:hint="default" w:ascii="Times New Roman" w:hAnsi="Times New Roman" w:cs="Times New Roman"/>
                <w:color w:val="000000" w:themeColor="text1"/>
                <w:sz w:val="21"/>
                <w:szCs w:val="21"/>
                <w14:textFill>
                  <w14:solidFill>
                    <w14:schemeClr w14:val="tx1"/>
                  </w14:solidFill>
                </w14:textFill>
              </w:rPr>
              <w:t>现场无施工遗留问题</w:t>
            </w:r>
          </w:p>
        </w:tc>
        <w:tc>
          <w:tcPr>
            <w:tcW w:w="502"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378"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634"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固体废物</w:t>
            </w:r>
          </w:p>
        </w:tc>
        <w:tc>
          <w:tcPr>
            <w:tcW w:w="2336" w:type="pct"/>
            <w:vAlign w:val="center"/>
          </w:tcPr>
          <w:p>
            <w:pPr>
              <w:keepNext w:val="0"/>
              <w:keepLines w:val="0"/>
              <w:pageBreakBefore w:val="0"/>
              <w:kinsoku/>
              <w:wordWrap/>
              <w:overflowPunct/>
              <w:topLinePunct w:val="0"/>
              <w:autoSpaceDE/>
              <w:autoSpaceDN/>
              <w:bidi w:val="0"/>
              <w:adjustRightInd w:val="0"/>
              <w:snapToGrid w:val="0"/>
              <w:spacing w:line="280" w:lineRule="exact"/>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①水基钻井岩屑</w:t>
            </w:r>
            <w:r>
              <w:rPr>
                <w:rFonts w:hint="default" w:ascii="Times New Roman" w:hAnsi="Times New Roman" w:cs="Times New Roman"/>
                <w:color w:val="000000" w:themeColor="text1"/>
                <w:sz w:val="21"/>
                <w:szCs w:val="21"/>
                <w:lang w:val="en-US" w:eastAsia="zh-CN"/>
                <w14:textFill>
                  <w14:solidFill>
                    <w14:schemeClr w14:val="tx1"/>
                  </w14:solidFill>
                </w14:textFill>
              </w:rPr>
              <w:t>进罐收集后交</w:t>
            </w:r>
            <w:r>
              <w:rPr>
                <w:rFonts w:hint="default" w:ascii="Times New Roman" w:hAnsi="Times New Roman" w:cs="Times New Roman"/>
                <w:color w:val="000000" w:themeColor="text1"/>
                <w:sz w:val="21"/>
                <w:szCs w:val="21"/>
                <w14:textFill>
                  <w14:solidFill>
                    <w14:schemeClr w14:val="tx1"/>
                  </w14:solidFill>
                </w14:textFill>
              </w:rPr>
              <w:t>由岩屑处置单位处置；</w:t>
            </w:r>
            <w:r>
              <w:rPr>
                <w:rFonts w:hint="eastAsia" w:ascii="宋体" w:hAnsi="宋体" w:cs="宋体"/>
                <w:sz w:val="21"/>
                <w:szCs w:val="21"/>
              </w:rPr>
              <w:t>油基钻井岩屑</w:t>
            </w:r>
            <w:r>
              <w:rPr>
                <w:rFonts w:hint="default" w:ascii="Times New Roman" w:hAnsi="Times New Roman" w:cs="Times New Roman"/>
                <w:color w:val="000000" w:themeColor="text1"/>
                <w:sz w:val="21"/>
                <w:szCs w:val="21"/>
                <w:lang w:val="en-US" w:eastAsia="zh-CN"/>
                <w14:textFill>
                  <w14:solidFill>
                    <w14:schemeClr w14:val="tx1"/>
                  </w14:solidFill>
                </w14:textFill>
              </w:rPr>
              <w:t>进罐</w:t>
            </w:r>
            <w:r>
              <w:rPr>
                <w:rFonts w:hint="eastAsia" w:cs="Times New Roman"/>
                <w:color w:val="000000" w:themeColor="text1"/>
                <w:sz w:val="21"/>
                <w:szCs w:val="21"/>
                <w:lang w:val="en-US" w:eastAsia="zh-CN"/>
                <w14:textFill>
                  <w14:solidFill>
                    <w14:schemeClr w14:val="tx1"/>
                  </w14:solidFill>
                </w14:textFill>
              </w:rPr>
              <w:t>，</w:t>
            </w:r>
            <w:r>
              <w:rPr>
                <w:rFonts w:hint="eastAsia" w:ascii="宋体" w:hAnsi="宋体" w:cs="宋体"/>
                <w:sz w:val="21"/>
                <w:szCs w:val="21"/>
              </w:rPr>
              <w:t>由具有相关资质的危废处置单位负责接收、转运、处置；</w:t>
            </w:r>
          </w:p>
          <w:p>
            <w:pPr>
              <w:keepNext w:val="0"/>
              <w:keepLines w:val="0"/>
              <w:pageBreakBefore w:val="0"/>
              <w:kinsoku/>
              <w:wordWrap/>
              <w:overflowPunct/>
              <w:topLinePunct w:val="0"/>
              <w:autoSpaceDE/>
              <w:autoSpaceDN/>
              <w:bidi w:val="0"/>
              <w:adjustRightInd w:val="0"/>
              <w:snapToGrid w:val="0"/>
              <w:spacing w:line="280" w:lineRule="exact"/>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②未沾油的防渗材料由施工单位集中回收利用，沾油的废防渗材料、废润滑油及废润滑油桶</w:t>
            </w:r>
            <w:r>
              <w:rPr>
                <w:rFonts w:hint="default" w:ascii="Times New Roman" w:hAnsi="Times New Roman" w:cs="Times New Roman"/>
                <w:color w:val="000000" w:themeColor="text1"/>
                <w:sz w:val="21"/>
                <w:szCs w:val="21"/>
                <w:lang w:val="en-US" w:eastAsia="zh-CN"/>
                <w14:textFill>
                  <w14:solidFill>
                    <w14:schemeClr w14:val="tx1"/>
                  </w14:solidFill>
                </w14:textFill>
              </w:rPr>
              <w:t>在井场危险废物贮存点</w:t>
            </w:r>
            <w:r>
              <w:rPr>
                <w:rFonts w:hint="eastAsia" w:cs="Times New Roman"/>
                <w:color w:val="000000" w:themeColor="text1"/>
                <w:sz w:val="21"/>
                <w:szCs w:val="21"/>
                <w:lang w:val="en-US" w:eastAsia="zh-CN"/>
                <w14:textFill>
                  <w14:solidFill>
                    <w14:schemeClr w14:val="tx1"/>
                  </w14:solidFill>
                </w14:textFill>
              </w:rPr>
              <w:t>分区贮存</w:t>
            </w:r>
            <w:r>
              <w:rPr>
                <w:rFonts w:hint="default" w:ascii="Times New Roman" w:hAnsi="Times New Roman" w:cs="Times New Roman"/>
                <w:color w:val="000000" w:themeColor="text1"/>
                <w:sz w:val="21"/>
                <w:szCs w:val="21"/>
                <w:lang w:val="en-US" w:eastAsia="zh-CN"/>
                <w14:textFill>
                  <w14:solidFill>
                    <w14:schemeClr w14:val="tx1"/>
                  </w14:solidFill>
                </w14:textFill>
              </w:rPr>
              <w:t>，定期交</w:t>
            </w:r>
            <w:r>
              <w:rPr>
                <w:rFonts w:hint="default" w:ascii="Times New Roman" w:hAnsi="Times New Roman" w:cs="Times New Roman"/>
                <w:color w:val="000000" w:themeColor="text1"/>
                <w:sz w:val="21"/>
                <w:szCs w:val="21"/>
                <w14:textFill>
                  <w14:solidFill>
                    <w14:schemeClr w14:val="tx1"/>
                  </w14:solidFill>
                </w14:textFill>
              </w:rPr>
              <w:t>具有相应危险废物处置资质的单位进行接收、转运和处置；</w:t>
            </w:r>
          </w:p>
          <w:p>
            <w:pPr>
              <w:keepNext w:val="0"/>
              <w:keepLines w:val="0"/>
              <w:pageBreakBefore w:val="0"/>
              <w:kinsoku/>
              <w:wordWrap/>
              <w:overflowPunct/>
              <w:topLinePunct w:val="0"/>
              <w:autoSpaceDE/>
              <w:autoSpaceDN/>
              <w:bidi w:val="0"/>
              <w:adjustRightInd w:val="0"/>
              <w:snapToGrid w:val="0"/>
              <w:spacing w:line="280" w:lineRule="exact"/>
              <w:jc w:val="left"/>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③危险废物贮存点建设满足《危险废物贮存污染控制标准》</w:t>
            </w:r>
            <w:r>
              <w:rPr>
                <w:rFonts w:hint="eastAsia" w:cs="Times New Roman"/>
                <w:color w:val="000000" w:themeColor="text1"/>
                <w:sz w:val="21"/>
                <w:szCs w:val="21"/>
                <w:lang w:val="en-US" w:eastAsia="zh-CN"/>
                <w14:textFill>
                  <w14:solidFill>
                    <w14:schemeClr w14:val="tx1"/>
                  </w14:solidFill>
                </w14:textFill>
              </w:rPr>
              <w:t>（</w:t>
            </w:r>
            <w:r>
              <w:rPr>
                <w:rFonts w:hint="default" w:ascii="Times New Roman" w:hAnsi="Times New Roman" w:cs="Times New Roman"/>
                <w:color w:val="000000" w:themeColor="text1"/>
                <w:sz w:val="21"/>
                <w:szCs w:val="21"/>
                <w:lang w:val="en-US" w:eastAsia="zh-CN"/>
                <w14:textFill>
                  <w14:solidFill>
                    <w14:schemeClr w14:val="tx1"/>
                  </w14:solidFill>
                </w14:textFill>
              </w:rPr>
              <w:t>GB18597-2023</w:t>
            </w:r>
            <w:r>
              <w:rPr>
                <w:rFonts w:hint="eastAsia" w:cs="Times New Roman"/>
                <w:color w:val="000000" w:themeColor="text1"/>
                <w:sz w:val="21"/>
                <w:szCs w:val="21"/>
                <w:lang w:val="en-US" w:eastAsia="zh-CN"/>
                <w14:textFill>
                  <w14:solidFill>
                    <w14:schemeClr w14:val="tx1"/>
                  </w14:solidFill>
                </w14:textFill>
              </w:rPr>
              <w:t>）</w:t>
            </w:r>
            <w:r>
              <w:rPr>
                <w:rFonts w:hint="default" w:ascii="Times New Roman" w:hAnsi="Times New Roman" w:cs="Times New Roman"/>
                <w:color w:val="000000" w:themeColor="text1"/>
                <w:sz w:val="21"/>
                <w:szCs w:val="21"/>
                <w:lang w:val="en-US" w:eastAsia="zh-CN"/>
                <w14:textFill>
                  <w14:solidFill>
                    <w14:schemeClr w14:val="tx1"/>
                  </w14:solidFill>
                </w14:textFill>
              </w:rPr>
              <w:t>中要求；</w:t>
            </w:r>
          </w:p>
          <w:p>
            <w:pPr>
              <w:keepNext w:val="0"/>
              <w:keepLines w:val="0"/>
              <w:pageBreakBefore w:val="0"/>
              <w:kinsoku/>
              <w:wordWrap/>
              <w:overflowPunct/>
              <w:topLinePunct w:val="0"/>
              <w:autoSpaceDE/>
              <w:autoSpaceDN/>
              <w:bidi w:val="0"/>
              <w:adjustRightInd w:val="0"/>
              <w:snapToGrid w:val="0"/>
              <w:spacing w:line="280" w:lineRule="exact"/>
              <w:jc w:val="left"/>
              <w:textAlignment w:val="auto"/>
              <w:rPr>
                <w:rFonts w:hint="eastAsia"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④</w:t>
            </w:r>
            <w:r>
              <w:rPr>
                <w:rFonts w:hint="default" w:ascii="Times New Roman" w:hAnsi="Times New Roman" w:cs="Times New Roman"/>
                <w:color w:val="000000" w:themeColor="text1"/>
                <w:sz w:val="21"/>
                <w:szCs w:val="21"/>
                <w14:textFill>
                  <w14:solidFill>
                    <w14:schemeClr w14:val="tx1"/>
                  </w14:solidFill>
                </w14:textFill>
              </w:rPr>
              <w:t>生活垃圾集中</w:t>
            </w:r>
            <w:r>
              <w:rPr>
                <w:rFonts w:hint="default" w:ascii="Times New Roman" w:hAnsi="Times New Roman" w:cs="Times New Roman"/>
                <w:color w:val="000000" w:themeColor="text1"/>
                <w:sz w:val="21"/>
                <w:szCs w:val="21"/>
                <w:lang w:eastAsia="zh-CN"/>
                <w14:textFill>
                  <w14:solidFill>
                    <w14:schemeClr w14:val="tx1"/>
                  </w14:solidFill>
                </w14:textFill>
              </w:rPr>
              <w:t>在</w:t>
            </w:r>
            <w:r>
              <w:rPr>
                <w:rFonts w:hint="default" w:ascii="Times New Roman" w:hAnsi="Times New Roman" w:cs="Times New Roman"/>
                <w:color w:val="000000" w:themeColor="text1"/>
                <w:sz w:val="21"/>
                <w:szCs w:val="21"/>
                <w:lang w:val="en-US" w:eastAsia="zh-CN"/>
                <w14:textFill>
                  <w14:solidFill>
                    <w14:schemeClr w14:val="tx1"/>
                  </w14:solidFill>
                </w14:textFill>
              </w:rPr>
              <w:t>垃圾箱内，</w:t>
            </w:r>
            <w:r>
              <w:rPr>
                <w:rFonts w:hint="default" w:ascii="Times New Roman" w:hAnsi="Times New Roman" w:cs="Times New Roman"/>
                <w:color w:val="000000" w:themeColor="text1"/>
                <w:sz w:val="21"/>
                <w:szCs w:val="21"/>
                <w14:textFill>
                  <w14:solidFill>
                    <w14:schemeClr w14:val="tx1"/>
                  </w14:solidFill>
                </w14:textFill>
              </w:rPr>
              <w:t>定期清运至</w:t>
            </w:r>
            <w:r>
              <w:rPr>
                <w:rFonts w:hint="eastAsia" w:cs="Times New Roman"/>
                <w:color w:val="000000" w:themeColor="text1"/>
                <w:sz w:val="21"/>
                <w:szCs w:val="21"/>
                <w:lang w:eastAsia="zh-CN"/>
                <w14:textFill>
                  <w14:solidFill>
                    <w14:schemeClr w14:val="tx1"/>
                  </w14:solidFill>
                </w14:textFill>
              </w:rPr>
              <w:t>呼图壁县生活垃圾填埋场</w:t>
            </w:r>
            <w:r>
              <w:rPr>
                <w:rFonts w:hint="default" w:ascii="Times New Roman" w:hAnsi="Times New Roman" w:cs="Times New Roman"/>
                <w:color w:val="000000" w:themeColor="text1"/>
                <w:sz w:val="21"/>
                <w:szCs w:val="21"/>
                <w14:textFill>
                  <w14:solidFill>
                    <w14:schemeClr w14:val="tx1"/>
                  </w14:solidFill>
                </w14:textFill>
              </w:rPr>
              <w:t>处置</w:t>
            </w:r>
            <w:r>
              <w:rPr>
                <w:rFonts w:hint="eastAsia" w:cs="Times New Roman"/>
                <w:color w:val="000000" w:themeColor="text1"/>
                <w:sz w:val="21"/>
                <w:szCs w:val="21"/>
                <w:lang w:eastAsia="zh-CN"/>
                <w14:textFill>
                  <w14:solidFill>
                    <w14:schemeClr w14:val="tx1"/>
                  </w14:solidFill>
                </w14:textFill>
              </w:rPr>
              <w:t>；</w:t>
            </w:r>
          </w:p>
          <w:p>
            <w:pPr>
              <w:keepNext w:val="0"/>
              <w:keepLines w:val="0"/>
              <w:pageBreakBefore w:val="0"/>
              <w:kinsoku/>
              <w:wordWrap/>
              <w:overflowPunct/>
              <w:topLinePunct w:val="0"/>
              <w:autoSpaceDE/>
              <w:autoSpaceDN/>
              <w:bidi w:val="0"/>
              <w:adjustRightInd w:val="0"/>
              <w:snapToGrid w:val="0"/>
              <w:spacing w:line="280" w:lineRule="exact"/>
              <w:jc w:val="left"/>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⑤建筑垃圾集中收集在垃圾箱后送至当地建筑垃圾填埋场</w:t>
            </w:r>
          </w:p>
        </w:tc>
        <w:tc>
          <w:tcPr>
            <w:tcW w:w="1148" w:type="pct"/>
            <w:vAlign w:val="center"/>
          </w:tcPr>
          <w:p>
            <w:pPr>
              <w:keepNext w:val="0"/>
              <w:keepLines w:val="0"/>
              <w:pageBreakBefore w:val="0"/>
              <w:kinsoku/>
              <w:wordWrap/>
              <w:overflowPunct/>
              <w:topLinePunct w:val="0"/>
              <w:autoSpaceDE/>
              <w:autoSpaceDN/>
              <w:bidi w:val="0"/>
              <w:adjustRightInd w:val="0"/>
              <w:snapToGrid w:val="0"/>
              <w:spacing w:line="280" w:lineRule="exac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具备</w:t>
            </w:r>
            <w:r>
              <w:rPr>
                <w:rFonts w:hint="eastAsia" w:cs="Times New Roman"/>
                <w:color w:val="000000" w:themeColor="text1"/>
                <w:sz w:val="21"/>
                <w:szCs w:val="21"/>
                <w:lang w:val="en-US" w:eastAsia="zh-CN"/>
                <w14:textFill>
                  <w14:solidFill>
                    <w14:schemeClr w14:val="tx1"/>
                  </w14:solidFill>
                </w14:textFill>
              </w:rPr>
              <w:t>水基</w:t>
            </w:r>
            <w:r>
              <w:rPr>
                <w:rFonts w:hint="default" w:ascii="Times New Roman" w:hAnsi="Times New Roman" w:cs="Times New Roman"/>
                <w:color w:val="000000" w:themeColor="text1"/>
                <w:sz w:val="21"/>
                <w:szCs w:val="21"/>
                <w:lang w:val="en-US" w:eastAsia="zh-CN"/>
                <w14:textFill>
                  <w14:solidFill>
                    <w14:schemeClr w14:val="tx1"/>
                  </w14:solidFill>
                </w14:textFill>
              </w:rPr>
              <w:t>钻井岩屑清运处置协议及台账；</w:t>
            </w:r>
            <w:r>
              <w:rPr>
                <w:rFonts w:hint="eastAsia" w:cs="Times New Roman"/>
                <w:color w:val="000000" w:themeColor="text1"/>
                <w:sz w:val="21"/>
                <w:szCs w:val="21"/>
                <w:lang w:val="en-US" w:eastAsia="zh-CN"/>
                <w14:textFill>
                  <w14:solidFill>
                    <w14:schemeClr w14:val="tx1"/>
                  </w14:solidFill>
                </w14:textFill>
              </w:rPr>
              <w:t>未沾油防渗材料得到回收利用；</w:t>
            </w:r>
            <w:r>
              <w:rPr>
                <w:rFonts w:hint="default" w:ascii="Times New Roman" w:hAnsi="Times New Roman" w:cs="Times New Roman"/>
                <w:color w:val="000000" w:themeColor="text1"/>
                <w:sz w:val="21"/>
                <w:szCs w:val="21"/>
                <w:lang w:val="en-US" w:eastAsia="zh-CN"/>
                <w14:textFill>
                  <w14:solidFill>
                    <w14:schemeClr w14:val="tx1"/>
                  </w14:solidFill>
                </w14:textFill>
              </w:rPr>
              <w:t>具备</w:t>
            </w:r>
            <w:r>
              <w:rPr>
                <w:rFonts w:hint="eastAsia" w:cs="Times New Roman"/>
                <w:color w:val="000000" w:themeColor="text1"/>
                <w:sz w:val="21"/>
                <w:szCs w:val="21"/>
                <w:lang w:val="en-US" w:eastAsia="zh-CN"/>
                <w14:textFill>
                  <w14:solidFill>
                    <w14:schemeClr w14:val="tx1"/>
                  </w14:solidFill>
                </w14:textFill>
              </w:rPr>
              <w:t>油基钻井岩屑、沾油废防渗膜、废润滑油和废润滑油桶等</w:t>
            </w:r>
            <w:r>
              <w:rPr>
                <w:rFonts w:hint="default" w:ascii="Times New Roman" w:hAnsi="Times New Roman" w:cs="Times New Roman"/>
                <w:color w:val="000000" w:themeColor="text1"/>
                <w:sz w:val="21"/>
                <w:szCs w:val="21"/>
                <w14:textFill>
                  <w14:solidFill>
                    <w14:schemeClr w14:val="tx1"/>
                  </w14:solidFill>
                </w14:textFill>
              </w:rPr>
              <w:t>危险废物</w:t>
            </w:r>
            <w:r>
              <w:rPr>
                <w:rFonts w:hint="eastAsia" w:cs="Times New Roman"/>
                <w:color w:val="000000" w:themeColor="text1"/>
                <w:sz w:val="21"/>
                <w:szCs w:val="21"/>
                <w:lang w:val="en-US" w:eastAsia="zh-CN"/>
                <w14:textFill>
                  <w14:solidFill>
                    <w14:schemeClr w14:val="tx1"/>
                  </w14:solidFill>
                </w14:textFill>
              </w:rPr>
              <w:t>的</w:t>
            </w:r>
            <w:r>
              <w:rPr>
                <w:rFonts w:hint="default" w:ascii="Times New Roman" w:hAnsi="Times New Roman" w:cs="Times New Roman"/>
                <w:color w:val="000000" w:themeColor="text1"/>
                <w:sz w:val="21"/>
                <w:szCs w:val="21"/>
                <w:lang w:val="en-US" w:eastAsia="zh-CN"/>
                <w14:textFill>
                  <w14:solidFill>
                    <w14:schemeClr w14:val="tx1"/>
                  </w14:solidFill>
                </w14:textFill>
              </w:rPr>
              <w:t>处置协议及台账；具备</w:t>
            </w:r>
            <w:r>
              <w:rPr>
                <w:rFonts w:hint="default" w:ascii="Times New Roman" w:hAnsi="Times New Roman" w:cs="Times New Roman"/>
                <w:color w:val="000000" w:themeColor="text1"/>
                <w:sz w:val="21"/>
                <w:szCs w:val="21"/>
                <w14:textFill>
                  <w14:solidFill>
                    <w14:schemeClr w14:val="tx1"/>
                  </w14:solidFill>
                </w14:textFill>
              </w:rPr>
              <w:t>生活垃圾</w:t>
            </w:r>
            <w:r>
              <w:rPr>
                <w:rFonts w:hint="default" w:ascii="Times New Roman" w:hAnsi="Times New Roman" w:cs="Times New Roman"/>
                <w:color w:val="000000" w:themeColor="text1"/>
                <w:sz w:val="21"/>
                <w:szCs w:val="21"/>
                <w:lang w:val="en-US" w:eastAsia="zh-CN"/>
                <w14:textFill>
                  <w14:solidFill>
                    <w14:schemeClr w14:val="tx1"/>
                  </w14:solidFill>
                </w14:textFill>
              </w:rPr>
              <w:t>清运协议</w:t>
            </w:r>
            <w:r>
              <w:rPr>
                <w:rFonts w:hint="eastAsia" w:cs="Times New Roman"/>
                <w:color w:val="000000" w:themeColor="text1"/>
                <w:sz w:val="21"/>
                <w:szCs w:val="21"/>
                <w:lang w:val="en-US" w:eastAsia="zh-CN"/>
                <w14:textFill>
                  <w14:solidFill>
                    <w14:schemeClr w14:val="tx1"/>
                  </w14:solidFill>
                </w14:textFill>
              </w:rPr>
              <w:t>和清运台账</w:t>
            </w:r>
            <w:r>
              <w:rPr>
                <w:rFonts w:hint="default" w:ascii="Times New Roman" w:hAnsi="Times New Roman" w:cs="Times New Roman"/>
                <w:color w:val="000000" w:themeColor="text1"/>
                <w:sz w:val="21"/>
                <w:szCs w:val="21"/>
                <w:lang w:val="en-US" w:eastAsia="zh-CN"/>
                <w14:textFill>
                  <w14:solidFill>
                    <w14:schemeClr w14:val="tx1"/>
                  </w14:solidFill>
                </w14:textFill>
              </w:rPr>
              <w:t>；验收现场无固体废物</w:t>
            </w:r>
            <w:r>
              <w:rPr>
                <w:rFonts w:hint="default" w:ascii="Times New Roman" w:hAnsi="Times New Roman" w:cs="Times New Roman"/>
                <w:color w:val="000000" w:themeColor="text1"/>
                <w:sz w:val="21"/>
                <w:szCs w:val="21"/>
                <w14:textFill>
                  <w14:solidFill>
                    <w14:schemeClr w14:val="tx1"/>
                  </w14:solidFill>
                </w14:textFill>
              </w:rPr>
              <w:t>遗留</w:t>
            </w:r>
          </w:p>
        </w:tc>
        <w:tc>
          <w:tcPr>
            <w:tcW w:w="502"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378"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634"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电磁环境</w:t>
            </w:r>
          </w:p>
        </w:tc>
        <w:tc>
          <w:tcPr>
            <w:tcW w:w="2336"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1148"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502"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378"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634"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环境风险</w:t>
            </w:r>
          </w:p>
        </w:tc>
        <w:tc>
          <w:tcPr>
            <w:tcW w:w="2336" w:type="pct"/>
            <w:vAlign w:val="center"/>
          </w:tcPr>
          <w:p>
            <w:pPr>
              <w:keepNext w:val="0"/>
              <w:keepLines w:val="0"/>
              <w:pageBreakBefore w:val="0"/>
              <w:kinsoku/>
              <w:wordWrap/>
              <w:overflowPunct/>
              <w:topLinePunct w:val="0"/>
              <w:autoSpaceDE/>
              <w:autoSpaceDN/>
              <w:bidi w:val="0"/>
              <w:adjustRightInd w:val="0"/>
              <w:snapToGrid w:val="0"/>
              <w:spacing w:line="280" w:lineRule="exac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①施工时应严格执行相关风险防范措施和规章制度，严禁违规操作加强设备维修与巡检，避免储罐泄漏事故的发生；</w:t>
            </w:r>
          </w:p>
          <w:p>
            <w:pPr>
              <w:keepNext w:val="0"/>
              <w:keepLines w:val="0"/>
              <w:pageBreakBefore w:val="0"/>
              <w:kinsoku/>
              <w:wordWrap/>
              <w:overflowPunct/>
              <w:topLinePunct w:val="0"/>
              <w:autoSpaceDE/>
              <w:autoSpaceDN/>
              <w:bidi w:val="0"/>
              <w:adjustRightInd w:val="0"/>
              <w:snapToGrid w:val="0"/>
              <w:spacing w:line="280" w:lineRule="exac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②在井口安装井控装置，杜绝井喷的发生；</w:t>
            </w:r>
          </w:p>
          <w:p>
            <w:pPr>
              <w:keepNext w:val="0"/>
              <w:keepLines w:val="0"/>
              <w:pageBreakBefore w:val="0"/>
              <w:kinsoku/>
              <w:wordWrap/>
              <w:overflowPunct/>
              <w:topLinePunct w:val="0"/>
              <w:autoSpaceDE/>
              <w:autoSpaceDN/>
              <w:bidi w:val="0"/>
              <w:adjustRightInd w:val="0"/>
              <w:snapToGrid w:val="0"/>
              <w:spacing w:line="280" w:lineRule="exac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fldChar w:fldCharType="begin"/>
            </w:r>
            <w:r>
              <w:rPr>
                <w:rFonts w:hint="default" w:ascii="Times New Roman" w:hAnsi="Times New Roman" w:cs="Times New Roman"/>
                <w:color w:val="000000" w:themeColor="text1"/>
                <w:sz w:val="21"/>
                <w:szCs w:val="21"/>
                <w14:textFill>
                  <w14:solidFill>
                    <w14:schemeClr w14:val="tx1"/>
                  </w14:solidFill>
                </w14:textFill>
              </w:rPr>
              <w:instrText xml:space="preserve"> = 3 \* GB3 </w:instrText>
            </w:r>
            <w:r>
              <w:rPr>
                <w:rFonts w:hint="default" w:ascii="Times New Roman" w:hAnsi="Times New Roman" w:cs="Times New Roman"/>
                <w:color w:val="000000" w:themeColor="text1"/>
                <w:sz w:val="21"/>
                <w:szCs w:val="21"/>
                <w14:textFill>
                  <w14:solidFill>
                    <w14:schemeClr w14:val="tx1"/>
                  </w14:solidFill>
                </w14:textFill>
              </w:rPr>
              <w:fldChar w:fldCharType="separate"/>
            </w:r>
            <w:r>
              <w:rPr>
                <w:rFonts w:hint="default" w:ascii="Times New Roman" w:hAnsi="Times New Roman" w:cs="Times New Roman"/>
                <w:color w:val="000000" w:themeColor="text1"/>
                <w:sz w:val="21"/>
                <w:szCs w:val="21"/>
                <w14:textFill>
                  <w14:solidFill>
                    <w14:schemeClr w14:val="tx1"/>
                  </w14:solidFill>
                </w14:textFill>
              </w:rPr>
              <w:t>③</w:t>
            </w:r>
            <w:r>
              <w:rPr>
                <w:rFonts w:hint="default" w:ascii="Times New Roman" w:hAnsi="Times New Roman" w:cs="Times New Roman"/>
                <w:color w:val="000000" w:themeColor="text1"/>
                <w:sz w:val="21"/>
                <w:szCs w:val="21"/>
                <w14:textFill>
                  <w14:solidFill>
                    <w14:schemeClr w14:val="tx1"/>
                  </w14:solidFill>
                </w14:textFill>
              </w:rPr>
              <w:fldChar w:fldCharType="end"/>
            </w:r>
            <w:r>
              <w:rPr>
                <w:rFonts w:hint="eastAsia" w:cs="Times New Roman"/>
                <w:color w:val="000000" w:themeColor="text1"/>
                <w:sz w:val="21"/>
                <w:szCs w:val="21"/>
                <w:lang w:val="en-US" w:eastAsia="zh-CN"/>
                <w14:textFill>
                  <w14:solidFill>
                    <w14:schemeClr w14:val="tx1"/>
                  </w14:solidFill>
                </w14:textFill>
              </w:rPr>
              <w:t>加强</w:t>
            </w:r>
            <w:r>
              <w:rPr>
                <w:rFonts w:hint="default" w:ascii="Times New Roman" w:hAnsi="Times New Roman" w:cs="Times New Roman"/>
                <w:color w:val="000000" w:themeColor="text1"/>
                <w:sz w:val="21"/>
                <w:szCs w:val="21"/>
                <w14:textFill>
                  <w14:solidFill>
                    <w14:schemeClr w14:val="tx1"/>
                  </w14:solidFill>
                </w14:textFill>
              </w:rPr>
              <w:t>固井质量检查，发现固井质量不合格应及时采取措施，保证固井质量合格；</w:t>
            </w:r>
          </w:p>
          <w:p>
            <w:pPr>
              <w:keepNext w:val="0"/>
              <w:keepLines w:val="0"/>
              <w:pageBreakBefore w:val="0"/>
              <w:kinsoku/>
              <w:wordWrap/>
              <w:overflowPunct/>
              <w:topLinePunct w:val="0"/>
              <w:autoSpaceDE/>
              <w:autoSpaceDN/>
              <w:bidi w:val="0"/>
              <w:adjustRightInd w:val="0"/>
              <w:snapToGrid w:val="0"/>
              <w:spacing w:line="280" w:lineRule="exac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fldChar w:fldCharType="begin"/>
            </w:r>
            <w:r>
              <w:rPr>
                <w:rFonts w:hint="default" w:ascii="Times New Roman" w:hAnsi="Times New Roman" w:cs="Times New Roman"/>
                <w:color w:val="000000" w:themeColor="text1"/>
                <w:sz w:val="21"/>
                <w:szCs w:val="21"/>
                <w14:textFill>
                  <w14:solidFill>
                    <w14:schemeClr w14:val="tx1"/>
                  </w14:solidFill>
                </w14:textFill>
              </w:rPr>
              <w:instrText xml:space="preserve"> = 4 \* GB3 </w:instrText>
            </w:r>
            <w:r>
              <w:rPr>
                <w:rFonts w:hint="default" w:ascii="Times New Roman" w:hAnsi="Times New Roman" w:cs="Times New Roman"/>
                <w:color w:val="000000" w:themeColor="text1"/>
                <w:sz w:val="21"/>
                <w:szCs w:val="21"/>
                <w14:textFill>
                  <w14:solidFill>
                    <w14:schemeClr w14:val="tx1"/>
                  </w14:solidFill>
                </w14:textFill>
              </w:rPr>
              <w:fldChar w:fldCharType="separate"/>
            </w:r>
            <w:r>
              <w:rPr>
                <w:rFonts w:hint="default" w:ascii="Times New Roman" w:hAnsi="Times New Roman" w:cs="Times New Roman"/>
                <w:color w:val="000000" w:themeColor="text1"/>
                <w:sz w:val="21"/>
                <w:szCs w:val="21"/>
                <w14:textFill>
                  <w14:solidFill>
                    <w14:schemeClr w14:val="tx1"/>
                  </w14:solidFill>
                </w14:textFill>
              </w:rPr>
              <w:t>④</w:t>
            </w:r>
            <w:r>
              <w:rPr>
                <w:rFonts w:hint="default" w:ascii="Times New Roman" w:hAnsi="Times New Roman" w:cs="Times New Roman"/>
                <w:color w:val="000000" w:themeColor="text1"/>
                <w:sz w:val="21"/>
                <w:szCs w:val="21"/>
                <w14:textFill>
                  <w14:solidFill>
                    <w14:schemeClr w14:val="tx1"/>
                  </w14:solidFill>
                </w14:textFill>
              </w:rPr>
              <w:fldChar w:fldCharType="end"/>
            </w:r>
            <w:r>
              <w:rPr>
                <w:rFonts w:hint="default" w:ascii="Times New Roman" w:hAnsi="Times New Roman" w:cs="Times New Roman"/>
                <w:color w:val="000000" w:themeColor="text1"/>
                <w:sz w:val="21"/>
                <w:szCs w:val="21"/>
                <w14:textFill>
                  <w14:solidFill>
                    <w14:schemeClr w14:val="tx1"/>
                  </w14:solidFill>
                </w14:textFill>
              </w:rPr>
              <w:t>加强各类储罐及放喷管线的日常管理及安全检查；</w:t>
            </w:r>
          </w:p>
          <w:p>
            <w:pPr>
              <w:keepNext w:val="0"/>
              <w:keepLines w:val="0"/>
              <w:pageBreakBefore w:val="0"/>
              <w:kinsoku/>
              <w:wordWrap/>
              <w:overflowPunct/>
              <w:topLinePunct w:val="0"/>
              <w:autoSpaceDE/>
              <w:autoSpaceDN/>
              <w:bidi w:val="0"/>
              <w:adjustRightInd w:val="0"/>
              <w:snapToGrid w:val="0"/>
              <w:spacing w:line="280" w:lineRule="exac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fldChar w:fldCharType="begin"/>
            </w:r>
            <w:r>
              <w:rPr>
                <w:rFonts w:hint="default" w:ascii="Times New Roman" w:hAnsi="Times New Roman" w:cs="Times New Roman"/>
                <w:color w:val="000000" w:themeColor="text1"/>
                <w:sz w:val="21"/>
                <w:szCs w:val="21"/>
                <w14:textFill>
                  <w14:solidFill>
                    <w14:schemeClr w14:val="tx1"/>
                  </w14:solidFill>
                </w14:textFill>
              </w:rPr>
              <w:instrText xml:space="preserve"> = 5 \* GB3 </w:instrText>
            </w:r>
            <w:r>
              <w:rPr>
                <w:rFonts w:hint="default" w:ascii="Times New Roman" w:hAnsi="Times New Roman" w:cs="Times New Roman"/>
                <w:color w:val="000000" w:themeColor="text1"/>
                <w:sz w:val="21"/>
                <w:szCs w:val="21"/>
                <w14:textFill>
                  <w14:solidFill>
                    <w14:schemeClr w14:val="tx1"/>
                  </w14:solidFill>
                </w14:textFill>
              </w:rPr>
              <w:fldChar w:fldCharType="separate"/>
            </w:r>
            <w:r>
              <w:rPr>
                <w:rFonts w:hint="default" w:ascii="Times New Roman" w:hAnsi="Times New Roman" w:cs="Times New Roman"/>
                <w:color w:val="000000" w:themeColor="text1"/>
                <w:sz w:val="21"/>
                <w:szCs w:val="21"/>
                <w14:textFill>
                  <w14:solidFill>
                    <w14:schemeClr w14:val="tx1"/>
                  </w14:solidFill>
                </w14:textFill>
              </w:rPr>
              <w:t>⑤</w:t>
            </w:r>
            <w:r>
              <w:rPr>
                <w:rFonts w:hint="default" w:ascii="Times New Roman" w:hAnsi="Times New Roman" w:cs="Times New Roman"/>
                <w:color w:val="000000" w:themeColor="text1"/>
                <w:sz w:val="21"/>
                <w:szCs w:val="21"/>
                <w14:textFill>
                  <w14:solidFill>
                    <w14:schemeClr w14:val="tx1"/>
                  </w14:solidFill>
                </w14:textFill>
              </w:rPr>
              <w:fldChar w:fldCharType="end"/>
            </w:r>
            <w:r>
              <w:rPr>
                <w:rFonts w:hint="default" w:ascii="Times New Roman" w:hAnsi="Times New Roman" w:cs="Times New Roman"/>
                <w:color w:val="000000" w:themeColor="text1"/>
                <w:sz w:val="21"/>
                <w:szCs w:val="21"/>
                <w14:textFill>
                  <w14:solidFill>
                    <w14:schemeClr w14:val="tx1"/>
                  </w14:solidFill>
                </w14:textFill>
              </w:rPr>
              <w:t>加强施工期管理，严禁油田施工人员和车辆随意进入临时占地以外的区域；⑥</w:t>
            </w:r>
            <w:r>
              <w:rPr>
                <w:rFonts w:hint="eastAsia" w:cs="Times New Roman"/>
                <w:color w:val="000000" w:themeColor="text1"/>
                <w:sz w:val="21"/>
                <w:szCs w:val="21"/>
                <w:lang w:val="en-US" w:eastAsia="zh-CN"/>
                <w14:textFill>
                  <w14:solidFill>
                    <w14:schemeClr w14:val="tx1"/>
                  </w14:solidFill>
                </w14:textFill>
              </w:rPr>
              <w:t>编制应急预案并定期演练</w:t>
            </w:r>
          </w:p>
        </w:tc>
        <w:tc>
          <w:tcPr>
            <w:tcW w:w="1148" w:type="pct"/>
            <w:vAlign w:val="center"/>
          </w:tcPr>
          <w:p>
            <w:pPr>
              <w:keepNext w:val="0"/>
              <w:keepLines w:val="0"/>
              <w:pageBreakBefore w:val="0"/>
              <w:kinsoku/>
              <w:wordWrap/>
              <w:overflowPunct/>
              <w:topLinePunct w:val="0"/>
              <w:autoSpaceDE/>
              <w:autoSpaceDN/>
              <w:bidi w:val="0"/>
              <w:adjustRightInd w:val="0"/>
              <w:snapToGrid w:val="0"/>
              <w:spacing w:line="280" w:lineRule="exact"/>
              <w:jc w:val="left"/>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无突</w:t>
            </w:r>
            <w:r>
              <w:rPr>
                <w:rFonts w:hint="eastAsia" w:cs="Times New Roman"/>
                <w:color w:val="auto"/>
                <w:sz w:val="21"/>
                <w:szCs w:val="21"/>
                <w:lang w:val="en-US" w:eastAsia="zh-CN"/>
              </w:rPr>
              <w:t>发环境风险事件发生，或突发环境风险事件得到了妥善处置，未对环境造成不利影响</w:t>
            </w:r>
          </w:p>
        </w:tc>
        <w:tc>
          <w:tcPr>
            <w:tcW w:w="502"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378"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634"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环境监测</w:t>
            </w:r>
          </w:p>
        </w:tc>
        <w:tc>
          <w:tcPr>
            <w:tcW w:w="2336"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1148"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502"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378"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79" w:type="dxa"/>
            <w:bottom w:w="0" w:type="dxa"/>
            <w:right w:w="79" w:type="dxa"/>
          </w:tblCellMar>
        </w:tblPrEx>
        <w:trPr>
          <w:trHeight w:val="397" w:hRule="atLeast"/>
          <w:jc w:val="center"/>
        </w:trPr>
        <w:tc>
          <w:tcPr>
            <w:tcW w:w="634"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其他</w:t>
            </w:r>
          </w:p>
        </w:tc>
        <w:tc>
          <w:tcPr>
            <w:tcW w:w="2336" w:type="pct"/>
            <w:vAlign w:val="center"/>
          </w:tcPr>
          <w:p>
            <w:pPr>
              <w:keepNext w:val="0"/>
              <w:keepLines w:val="0"/>
              <w:pageBreakBefore w:val="0"/>
              <w:kinsoku/>
              <w:wordWrap/>
              <w:overflowPunct/>
              <w:topLinePunct w:val="0"/>
              <w:autoSpaceDE/>
              <w:autoSpaceDN/>
              <w:bidi w:val="0"/>
              <w:adjustRightInd w:val="0"/>
              <w:snapToGrid w:val="0"/>
              <w:spacing w:line="280" w:lineRule="exact"/>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①</w:t>
            </w:r>
            <w:r>
              <w:rPr>
                <w:rFonts w:hint="default" w:ascii="Times New Roman" w:hAnsi="Times New Roman" w:cs="Times New Roman"/>
                <w:color w:val="000000" w:themeColor="text1"/>
                <w:sz w:val="21"/>
                <w:szCs w:val="21"/>
                <w14:textFill>
                  <w14:solidFill>
                    <w14:schemeClr w14:val="tx1"/>
                  </w14:solidFill>
                </w14:textFill>
              </w:rPr>
              <w:t>施工单位应建立环境保护档案，保存施工前后项目区的影像资料，使施工全过程各类污染物产生、去向和各个污染措施及实施情况均记录在案。</w:t>
            </w:r>
          </w:p>
          <w:p>
            <w:pPr>
              <w:keepNext w:val="0"/>
              <w:keepLines w:val="0"/>
              <w:pageBreakBefore w:val="0"/>
              <w:kinsoku/>
              <w:wordWrap/>
              <w:overflowPunct/>
              <w:topLinePunct w:val="0"/>
              <w:autoSpaceDE/>
              <w:autoSpaceDN/>
              <w:bidi w:val="0"/>
              <w:adjustRightInd w:val="0"/>
              <w:snapToGrid w:val="0"/>
              <w:spacing w:line="280" w:lineRule="exact"/>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②</w:t>
            </w:r>
            <w:r>
              <w:rPr>
                <w:rFonts w:hint="default" w:ascii="Times New Roman" w:hAnsi="Times New Roman" w:cs="Times New Roman"/>
                <w:color w:val="000000" w:themeColor="text1"/>
                <w:sz w:val="21"/>
                <w:szCs w:val="21"/>
                <w14:textFill>
                  <w14:solidFill>
                    <w14:schemeClr w14:val="tx1"/>
                  </w14:solidFill>
                </w14:textFill>
              </w:rPr>
              <w:t>建设单位对施工单位钻井期间进行环保日常检查并做好记录；完工交井前，建设单位主管部门现场验收，合格后方可记录为完工，做到工完料净场地清，并做好记录。</w:t>
            </w:r>
          </w:p>
        </w:tc>
        <w:tc>
          <w:tcPr>
            <w:tcW w:w="1148"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是否保留必要的影像资料</w:t>
            </w:r>
            <w:r>
              <w:rPr>
                <w:rFonts w:hint="default" w:ascii="Times New Roman" w:hAnsi="Times New Roman"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lang w:val="en-US" w:eastAsia="zh-CN"/>
                <w14:textFill>
                  <w14:solidFill>
                    <w14:schemeClr w14:val="tx1"/>
                  </w14:solidFill>
                </w14:textFill>
              </w:rPr>
              <w:t>项目环评及审批手续是否完备、环境保护档案资料是否齐全。</w:t>
            </w:r>
          </w:p>
        </w:tc>
        <w:tc>
          <w:tcPr>
            <w:tcW w:w="502"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378" w:type="pct"/>
            <w:vAlign w:val="center"/>
          </w:tcPr>
          <w:p>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r>
    </w:tbl>
    <w:p>
      <w:pPr>
        <w:pStyle w:val="10"/>
        <w:rPr>
          <w:rFonts w:hint="default" w:ascii="Times New Roman" w:hAnsi="Times New Roman" w:cs="Times New Roman"/>
          <w:color w:val="000000" w:themeColor="text1"/>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3"/>
        <w:rPr>
          <w:rFonts w:hint="default" w:ascii="Times New Roman" w:hAnsi="Times New Roman" w:eastAsia="黑体" w:cs="Times New Roman"/>
          <w:b w:val="0"/>
          <w:bCs/>
          <w:color w:val="000000" w:themeColor="text1"/>
          <w:sz w:val="30"/>
          <w:szCs w:val="30"/>
          <w14:textFill>
            <w14:solidFill>
              <w14:schemeClr w14:val="tx1"/>
            </w14:solidFill>
          </w14:textFill>
        </w:rPr>
      </w:pPr>
      <w:bookmarkStart w:id="162" w:name="_Toc11656"/>
      <w:r>
        <w:rPr>
          <w:rFonts w:hint="default" w:ascii="Times New Roman" w:hAnsi="Times New Roman" w:eastAsia="黑体" w:cs="Times New Roman"/>
          <w:b w:val="0"/>
          <w:bCs/>
          <w:color w:val="000000" w:themeColor="text1"/>
          <w:sz w:val="30"/>
          <w:szCs w:val="30"/>
          <w14:textFill>
            <w14:solidFill>
              <w14:schemeClr w14:val="tx1"/>
            </w14:solidFill>
          </w14:textFill>
        </w:rPr>
        <w:t>七、结论</w:t>
      </w:r>
      <w:bookmarkEnd w:id="162"/>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0" w:hRule="atLeast"/>
        </w:trPr>
        <w:tc>
          <w:tcPr>
            <w:tcW w:w="8522" w:type="dxa"/>
            <w:vAlign w:val="center"/>
          </w:tcPr>
          <w:p>
            <w:pPr>
              <w:pStyle w:val="10"/>
              <w:bidi w:val="0"/>
              <w:rPr>
                <w:rFonts w:hint="default"/>
              </w:rPr>
            </w:pPr>
            <w:r>
              <w:rPr>
                <w:rFonts w:hint="default"/>
              </w:rPr>
              <w:t>本项目符合国家产业政策、“三线一单”和相关规划，选址选线合理。在严格执行已有各项环保政策、规定，认真落实报告表中提出的污染防治措施和生态影响减缓措施的前提下，从环境保护角度</w:t>
            </w:r>
            <w:r>
              <w:rPr>
                <w:rFonts w:hint="eastAsia"/>
                <w:lang w:eastAsia="zh-CN"/>
              </w:rPr>
              <w:t>，</w:t>
            </w:r>
            <w:r>
              <w:rPr>
                <w:rFonts w:hint="eastAsia"/>
                <w:lang w:val="en-US" w:eastAsia="zh-CN"/>
              </w:rPr>
              <w:t>本项目环境影响可行</w:t>
            </w:r>
            <w:r>
              <w:rPr>
                <w:rFonts w:hint="default"/>
              </w:rPr>
              <w:t>。</w:t>
            </w:r>
          </w:p>
          <w:p>
            <w:pPr>
              <w:pStyle w:val="10"/>
              <w:rPr>
                <w:rFonts w:hint="default" w:ascii="Times New Roman" w:hAnsi="Times New Roman" w:cs="Times New Roman"/>
                <w:color w:val="000000" w:themeColor="text1"/>
                <w14:textFill>
                  <w14:solidFill>
                    <w14:schemeClr w14:val="tx1"/>
                  </w14:solidFill>
                </w14:textFill>
              </w:rPr>
            </w:pPr>
          </w:p>
          <w:p>
            <w:pPr>
              <w:pStyle w:val="10"/>
              <w:rPr>
                <w:rFonts w:hint="default" w:ascii="Times New Roman" w:hAnsi="Times New Roman" w:cs="Times New Roman"/>
                <w:color w:val="000000" w:themeColor="text1"/>
                <w14:textFill>
                  <w14:solidFill>
                    <w14:schemeClr w14:val="tx1"/>
                  </w14:solidFill>
                </w14:textFill>
              </w:rPr>
            </w:pPr>
          </w:p>
          <w:p>
            <w:pPr>
              <w:pStyle w:val="10"/>
              <w:rPr>
                <w:rFonts w:hint="default" w:ascii="Times New Roman" w:hAnsi="Times New Roman" w:cs="Times New Roman"/>
                <w:color w:val="000000" w:themeColor="text1"/>
                <w14:textFill>
                  <w14:solidFill>
                    <w14:schemeClr w14:val="tx1"/>
                  </w14:solidFill>
                </w14:textFill>
              </w:rPr>
            </w:pPr>
          </w:p>
          <w:p>
            <w:pPr>
              <w:pStyle w:val="10"/>
              <w:rPr>
                <w:rFonts w:hint="default" w:ascii="Times New Roman" w:hAnsi="Times New Roman" w:cs="Times New Roman"/>
                <w:color w:val="000000" w:themeColor="text1"/>
                <w14:textFill>
                  <w14:solidFill>
                    <w14:schemeClr w14:val="tx1"/>
                  </w14:solidFill>
                </w14:textFill>
              </w:rPr>
            </w:pPr>
          </w:p>
          <w:p>
            <w:pPr>
              <w:pStyle w:val="10"/>
              <w:rPr>
                <w:rFonts w:hint="default" w:ascii="Times New Roman" w:hAnsi="Times New Roman" w:cs="Times New Roman"/>
                <w:color w:val="000000" w:themeColor="text1"/>
                <w14:textFill>
                  <w14:solidFill>
                    <w14:schemeClr w14:val="tx1"/>
                  </w14:solidFill>
                </w14:textFill>
              </w:rPr>
            </w:pPr>
          </w:p>
          <w:p>
            <w:pPr>
              <w:pStyle w:val="10"/>
              <w:rPr>
                <w:rFonts w:hint="default" w:ascii="Times New Roman" w:hAnsi="Times New Roman" w:cs="Times New Roman"/>
                <w:color w:val="000000" w:themeColor="text1"/>
                <w14:textFill>
                  <w14:solidFill>
                    <w14:schemeClr w14:val="tx1"/>
                  </w14:solidFill>
                </w14:textFill>
              </w:rPr>
            </w:pPr>
          </w:p>
          <w:p>
            <w:pPr>
              <w:pStyle w:val="10"/>
              <w:rPr>
                <w:rFonts w:hint="default" w:ascii="Times New Roman" w:hAnsi="Times New Roman" w:cs="Times New Roman"/>
                <w:color w:val="000000" w:themeColor="text1"/>
                <w14:textFill>
                  <w14:solidFill>
                    <w14:schemeClr w14:val="tx1"/>
                  </w14:solidFill>
                </w14:textFill>
              </w:rPr>
            </w:pPr>
          </w:p>
          <w:p>
            <w:pPr>
              <w:pStyle w:val="10"/>
              <w:rPr>
                <w:rFonts w:hint="default" w:ascii="Times New Roman" w:hAnsi="Times New Roman" w:cs="Times New Roman"/>
                <w:color w:val="000000" w:themeColor="text1"/>
                <w14:textFill>
                  <w14:solidFill>
                    <w14:schemeClr w14:val="tx1"/>
                  </w14:solidFill>
                </w14:textFill>
              </w:rPr>
            </w:pPr>
          </w:p>
          <w:p>
            <w:pPr>
              <w:pStyle w:val="10"/>
              <w:rPr>
                <w:rFonts w:hint="default" w:ascii="Times New Roman" w:hAnsi="Times New Roman" w:cs="Times New Roman"/>
                <w:color w:val="000000" w:themeColor="text1"/>
                <w14:textFill>
                  <w14:solidFill>
                    <w14:schemeClr w14:val="tx1"/>
                  </w14:solidFill>
                </w14:textFill>
              </w:rPr>
            </w:pPr>
          </w:p>
          <w:p>
            <w:pPr>
              <w:pStyle w:val="10"/>
              <w:rPr>
                <w:rFonts w:hint="default" w:ascii="Times New Roman" w:hAnsi="Times New Roman" w:cs="Times New Roman"/>
                <w:color w:val="000000" w:themeColor="text1"/>
                <w14:textFill>
                  <w14:solidFill>
                    <w14:schemeClr w14:val="tx1"/>
                  </w14:solidFill>
                </w14:textFill>
              </w:rPr>
            </w:pPr>
          </w:p>
          <w:p>
            <w:pPr>
              <w:pStyle w:val="10"/>
              <w:rPr>
                <w:rFonts w:hint="default" w:ascii="Times New Roman" w:hAnsi="Times New Roman" w:cs="Times New Roman"/>
                <w:color w:val="000000" w:themeColor="text1"/>
                <w14:textFill>
                  <w14:solidFill>
                    <w14:schemeClr w14:val="tx1"/>
                  </w14:solidFill>
                </w14:textFill>
              </w:rPr>
            </w:pPr>
          </w:p>
          <w:p>
            <w:pPr>
              <w:pStyle w:val="10"/>
              <w:rPr>
                <w:rFonts w:hint="default" w:ascii="Times New Roman" w:hAnsi="Times New Roman" w:cs="Times New Roman"/>
                <w:color w:val="000000" w:themeColor="text1"/>
                <w14:textFill>
                  <w14:solidFill>
                    <w14:schemeClr w14:val="tx1"/>
                  </w14:solidFill>
                </w14:textFill>
              </w:rPr>
            </w:pPr>
          </w:p>
          <w:p>
            <w:pPr>
              <w:pStyle w:val="10"/>
              <w:rPr>
                <w:rFonts w:hint="default" w:ascii="Times New Roman" w:hAnsi="Times New Roman" w:cs="Times New Roman"/>
                <w:color w:val="000000" w:themeColor="text1"/>
                <w14:textFill>
                  <w14:solidFill>
                    <w14:schemeClr w14:val="tx1"/>
                  </w14:solidFill>
                </w14:textFill>
              </w:rPr>
            </w:pPr>
          </w:p>
          <w:p>
            <w:pPr>
              <w:pStyle w:val="10"/>
              <w:rPr>
                <w:rFonts w:hint="default" w:ascii="Times New Roman" w:hAnsi="Times New Roman" w:cs="Times New Roman"/>
                <w:color w:val="000000" w:themeColor="text1"/>
                <w14:textFill>
                  <w14:solidFill>
                    <w14:schemeClr w14:val="tx1"/>
                  </w14:solidFill>
                </w14:textFill>
              </w:rPr>
            </w:pPr>
          </w:p>
          <w:p>
            <w:pPr>
              <w:widowControl/>
              <w:jc w:val="left"/>
              <w:rPr>
                <w:rFonts w:hint="default" w:ascii="Times New Roman" w:hAnsi="Times New Roman" w:cs="Times New Roman"/>
                <w:color w:val="000000" w:themeColor="text1"/>
                <w:kern w:val="0"/>
                <w14:textFill>
                  <w14:solidFill>
                    <w14:schemeClr w14:val="tx1"/>
                  </w14:solidFill>
                </w14:textFill>
              </w:rPr>
            </w:pPr>
          </w:p>
          <w:p>
            <w:pPr>
              <w:pStyle w:val="10"/>
              <w:rPr>
                <w:rFonts w:hint="default" w:ascii="Times New Roman" w:hAnsi="Times New Roman" w:cs="Times New Roman"/>
                <w:color w:val="000000" w:themeColor="text1"/>
                <w14:textFill>
                  <w14:solidFill>
                    <w14:schemeClr w14:val="tx1"/>
                  </w14:solidFill>
                </w14:textFill>
              </w:rPr>
            </w:pPr>
          </w:p>
          <w:p>
            <w:pPr>
              <w:pStyle w:val="10"/>
              <w:rPr>
                <w:rFonts w:hint="default" w:ascii="Times New Roman" w:hAnsi="Times New Roman" w:cs="Times New Roman"/>
                <w:color w:val="000000" w:themeColor="text1"/>
                <w14:textFill>
                  <w14:solidFill>
                    <w14:schemeClr w14:val="tx1"/>
                  </w14:solidFill>
                </w14:textFill>
              </w:rPr>
            </w:pPr>
          </w:p>
          <w:p>
            <w:pPr>
              <w:pStyle w:val="10"/>
              <w:rPr>
                <w:rFonts w:hint="default" w:ascii="Times New Roman" w:hAnsi="Times New Roman" w:cs="Times New Roman"/>
                <w:color w:val="000000" w:themeColor="text1"/>
                <w14:textFill>
                  <w14:solidFill>
                    <w14:schemeClr w14:val="tx1"/>
                  </w14:solidFill>
                </w14:textFill>
              </w:rPr>
            </w:pPr>
          </w:p>
          <w:p>
            <w:pPr>
              <w:pStyle w:val="10"/>
              <w:rPr>
                <w:rFonts w:hint="default" w:ascii="Times New Roman" w:hAnsi="Times New Roman" w:cs="Times New Roman"/>
                <w:color w:val="000000" w:themeColor="text1"/>
                <w14:textFill>
                  <w14:solidFill>
                    <w14:schemeClr w14:val="tx1"/>
                  </w14:solidFill>
                </w14:textFill>
              </w:rPr>
            </w:pPr>
          </w:p>
          <w:p>
            <w:pPr>
              <w:pStyle w:val="10"/>
              <w:rPr>
                <w:rFonts w:hint="default" w:ascii="Times New Roman" w:hAnsi="Times New Roman" w:cs="Times New Roman"/>
                <w:color w:val="000000" w:themeColor="text1"/>
                <w14:textFill>
                  <w14:solidFill>
                    <w14:schemeClr w14:val="tx1"/>
                  </w14:solidFill>
                </w14:textFill>
              </w:rPr>
            </w:pPr>
          </w:p>
          <w:p>
            <w:pPr>
              <w:pStyle w:val="10"/>
              <w:rPr>
                <w:rFonts w:hint="default" w:ascii="Times New Roman" w:hAnsi="Times New Roman" w:cs="Times New Roman"/>
                <w:color w:val="000000" w:themeColor="text1"/>
                <w14:textFill>
                  <w14:solidFill>
                    <w14:schemeClr w14:val="tx1"/>
                  </w14:solidFill>
                </w14:textFill>
              </w:rPr>
            </w:pPr>
          </w:p>
          <w:p>
            <w:pPr>
              <w:pStyle w:val="10"/>
              <w:rPr>
                <w:rFonts w:hint="default" w:ascii="Times New Roman" w:hAnsi="Times New Roman" w:cs="Times New Roman"/>
                <w:color w:val="000000" w:themeColor="text1"/>
                <w14:textFill>
                  <w14:solidFill>
                    <w14:schemeClr w14:val="tx1"/>
                  </w14:solidFill>
                </w14:textFill>
              </w:rPr>
            </w:pPr>
          </w:p>
          <w:p>
            <w:pPr>
              <w:pStyle w:val="10"/>
              <w:rPr>
                <w:rFonts w:hint="default" w:ascii="Times New Roman" w:hAnsi="Times New Roman" w:cs="Times New Roman"/>
                <w:color w:val="000000" w:themeColor="text1"/>
                <w14:textFill>
                  <w14:solidFill>
                    <w14:schemeClr w14:val="tx1"/>
                  </w14:solidFill>
                </w14:textFill>
              </w:rPr>
            </w:pPr>
          </w:p>
          <w:p>
            <w:pPr>
              <w:pStyle w:val="10"/>
              <w:rPr>
                <w:rFonts w:hint="default" w:ascii="Times New Roman" w:hAnsi="Times New Roman" w:cs="Times New Roman"/>
                <w:color w:val="000000" w:themeColor="text1"/>
                <w14:textFill>
                  <w14:solidFill>
                    <w14:schemeClr w14:val="tx1"/>
                  </w14:solidFill>
                </w14:textFill>
              </w:rPr>
            </w:pPr>
          </w:p>
        </w:tc>
      </w:tr>
    </w:tbl>
    <w:p>
      <w:pPr>
        <w:pStyle w:val="10"/>
        <w:keepNext w:val="0"/>
        <w:keepLines w:val="0"/>
        <w:pageBreakBefore w:val="0"/>
        <w:widowControl/>
        <w:kinsoku/>
        <w:wordWrap/>
        <w:overflowPunct/>
        <w:topLinePunct w:val="0"/>
        <w:autoSpaceDE/>
        <w:autoSpaceDN/>
        <w:bidi w:val="0"/>
        <w:adjustRightInd/>
        <w:snapToGrid w:val="0"/>
        <w:spacing w:line="240" w:lineRule="auto"/>
        <w:ind w:left="-720" w:leftChars="-300" w:firstLine="0" w:firstLineChars="0"/>
        <w:textAlignment w:val="auto"/>
        <w:rPr>
          <w:rFonts w:hint="eastAsia" w:ascii="Times New Roman" w:hAnsi="Times New Roman" w:eastAsia="宋体" w:cs="Times New Roman"/>
          <w:color w:val="000000" w:themeColor="text1"/>
          <w:lang w:eastAsia="zh-CN"/>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ageBreakBefore w:val="0"/>
        <w:widowControl w:val="0"/>
        <w:kinsoku/>
        <w:wordWrap/>
        <w:overflowPunct/>
        <w:topLinePunct w:val="0"/>
        <w:autoSpaceDE/>
        <w:autoSpaceDN/>
        <w:bidi w:val="0"/>
        <w:adjustRightInd/>
        <w:spacing w:line="360" w:lineRule="auto"/>
        <w:jc w:val="both"/>
        <w:textAlignment w:val="auto"/>
        <w:outlineLvl w:val="9"/>
        <w:rPr>
          <w:rFonts w:hint="default"/>
          <w:color w:val="000000" w:themeColor="text1"/>
          <w:lang w:eastAsia="zh-CN"/>
          <w14:textFill>
            <w14:solidFill>
              <w14:schemeClr w14:val="tx1"/>
            </w14:solidFill>
          </w14:textFill>
        </w:rPr>
      </w:pPr>
    </w:p>
    <w:sectPr>
      <w:footerReference r:id="rId6"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customizations.xml><?xml version="1.0" encoding="utf-8"?>
<wne:tcg xmlns:r="http://schemas.openxmlformats.org/officeDocument/2006/relationships" xmlns:wne="http://schemas.microsoft.com/office/word/2006/wordml">
  <wne:keymaps>
    <wne:keymap wne:kcmPrimary="0433">
      <wne:acd wne:acdName="acd0"/>
    </wne:keymap>
    <wne:keymap wne:kcmPrimary="0432">
      <wne:acd wne:acdName="acd1"/>
    </wne:keymap>
  </wne:keymaps>
  <wne:acds>
    <wne:acd wne:argValue="AQAAAEIA" wne:acdName="acd0" wne:fciIndexBasedOn="0065"/>
    <wne:acd wne:argValue="AgAHaJiYIAAwADIA" wne:acdName="acd1" wne:fciIndexBasedOn="0065"/>
  </wne:acd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right="360" w:firstLine="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right="360" w:firstLine="360"/>
      <w:jc w:val="both"/>
    </w:pPr>
    <w:r>
      <w:rPr>
        <w:sz w:val="18"/>
      </w:rPr>
      <mc:AlternateContent>
        <mc:Choice Requires="wps">
          <w:drawing>
            <wp:anchor distT="0" distB="0" distL="114300" distR="114300" simplePos="0" relativeHeight="251659264" behindDoc="0" locked="0" layoutInCell="1" allowOverlap="1">
              <wp:simplePos x="0" y="0"/>
              <wp:positionH relativeFrom="margin">
                <wp:posOffset>2712085</wp:posOffset>
              </wp:positionH>
              <wp:positionV relativeFrom="paragraph">
                <wp:posOffset>0</wp:posOffset>
              </wp:positionV>
              <wp:extent cx="393065" cy="11049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393065" cy="1104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13.55pt;margin-top:0pt;height:8.7pt;width:30.95pt;mso-position-horizontal-relative:margin;z-index:251659264;mso-width-relative:page;mso-height-relative:page;" filled="f" stroked="f" coordsize="21600,21600" o:gfxdata="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NFNttvWAAAABwEAAA8AAAAAAAAAAQAgAAAAIgAAAGRycy9kb3ducmV2&#10;LnhtbFBLAQIUABQAAAAIAIdO4kBFsEu9NwIAAGMEAAAOAAAAAAAAAAEAIAAAACUBAABkcnMvZTJv&#10;RG9jLnhtbFBLBQYAAAAABgAGAFkBAADOBQAAAAA=&#10;">
              <v:fill on="f" focussize="0,0"/>
              <v:stroke on="f" weight="0.5pt"/>
              <v:imagedata o:title=""/>
              <o:lock v:ext="edit" aspectratio="f"/>
              <v:textbox inset="0mm,0mm,0mm,0mm">
                <w:txbxContent>
                  <w:p>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right="360" w:firstLine="360"/>
      <w:jc w:val="both"/>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pPr>
                          <w:r>
                            <w:fldChar w:fldCharType="begin"/>
                          </w:r>
                          <w:r>
                            <w:instrText xml:space="preserve"> PAGE  \* MERGEFORMAT </w:instrText>
                          </w:r>
                          <w:r>
                            <w:fldChar w:fldCharType="separate"/>
                          </w:r>
                          <w:r>
                            <w:t>74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ZAnnc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ZAnnczAgAAYwQAAA4AAAAAAAAAAQAgAAAAHwEAAGRycy9lMm9Eb2MueG1sUEsF&#10;BgAAAAAGAAYAWQEAAMQFAAAAAA==&#10;">
              <v:fill on="f" focussize="0,0"/>
              <v:stroke on="f" weight="0.5pt"/>
              <v:imagedata o:title=""/>
              <o:lock v:ext="edit" aspectratio="f"/>
              <v:textbox inset="0mm,0mm,0mm,0mm" style="mso-fit-shape-to-text:t;">
                <w:txbxContent>
                  <w:p>
                    <w:pPr>
                      <w:pStyle w:val="17"/>
                    </w:pPr>
                    <w:r>
                      <w:fldChar w:fldCharType="begin"/>
                    </w:r>
                    <w:r>
                      <w:instrText xml:space="preserve"> PAGE  \* MERGEFORMAT </w:instrText>
                    </w:r>
                    <w:r>
                      <w:fldChar w:fldCharType="separate"/>
                    </w:r>
                    <w:r>
                      <w:t>74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none" w:color="auto" w:sz="0" w:space="0"/>
        <w:left w:val="none" w:color="auto" w:sz="0" w:space="0"/>
        <w:bottom w:val="none" w:color="auto" w:sz="0" w:space="1"/>
        <w:right w:val="none" w:color="auto" w:sz="0" w:space="0"/>
        <w:between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C0F406"/>
    <w:multiLevelType w:val="singleLevel"/>
    <w:tmpl w:val="95C0F406"/>
    <w:lvl w:ilvl="0" w:tentative="0">
      <w:start w:val="1"/>
      <w:numFmt w:val="bullet"/>
      <w:pStyle w:val="58"/>
      <w:lvlText w:val=""/>
      <w:lvlJc w:val="left"/>
      <w:pPr>
        <w:tabs>
          <w:tab w:val="left" w:pos="2890"/>
        </w:tabs>
        <w:ind w:left="2890" w:hanging="360"/>
      </w:pPr>
      <w:rPr>
        <w:rFonts w:hint="default" w:ascii="Wingdings" w:hAnsi="Wingdings"/>
      </w:rPr>
    </w:lvl>
  </w:abstractNum>
  <w:abstractNum w:abstractNumId="1">
    <w:nsid w:val="9DD5381A"/>
    <w:multiLevelType w:val="singleLevel"/>
    <w:tmpl w:val="9DD5381A"/>
    <w:lvl w:ilvl="0" w:tentative="0">
      <w:start w:val="1"/>
      <w:numFmt w:val="lowerLetter"/>
      <w:lvlText w:val="%1."/>
      <w:lvlJc w:val="left"/>
      <w:pPr>
        <w:ind w:left="425" w:hanging="425"/>
      </w:pPr>
      <w:rPr>
        <w:rFonts w:hint="default"/>
      </w:rPr>
    </w:lvl>
  </w:abstractNum>
  <w:abstractNum w:abstractNumId="2">
    <w:nsid w:val="AE52F326"/>
    <w:multiLevelType w:val="singleLevel"/>
    <w:tmpl w:val="AE52F326"/>
    <w:lvl w:ilvl="0" w:tentative="0">
      <w:start w:val="1"/>
      <w:numFmt w:val="decimal"/>
      <w:suff w:val="nothing"/>
      <w:lvlText w:val="（%1）"/>
      <w:lvlJc w:val="left"/>
    </w:lvl>
  </w:abstractNum>
  <w:abstractNum w:abstractNumId="3">
    <w:nsid w:val="C0FDBC8A"/>
    <w:multiLevelType w:val="singleLevel"/>
    <w:tmpl w:val="C0FDBC8A"/>
    <w:lvl w:ilvl="0" w:tentative="0">
      <w:start w:val="1"/>
      <w:numFmt w:val="lowerLetter"/>
      <w:lvlText w:val="%1."/>
      <w:lvlJc w:val="left"/>
      <w:pPr>
        <w:ind w:left="425" w:hanging="425"/>
      </w:pPr>
      <w:rPr>
        <w:rFonts w:hint="default"/>
      </w:rPr>
    </w:lvl>
  </w:abstractNum>
  <w:abstractNum w:abstractNumId="4">
    <w:nsid w:val="EC9C1C9D"/>
    <w:multiLevelType w:val="singleLevel"/>
    <w:tmpl w:val="EC9C1C9D"/>
    <w:lvl w:ilvl="0" w:tentative="0">
      <w:start w:val="1"/>
      <w:numFmt w:val="decimal"/>
      <w:suff w:val="nothing"/>
      <w:lvlText w:val="（%1）"/>
      <w:lvlJc w:val="left"/>
    </w:lvl>
  </w:abstractNum>
  <w:abstractNum w:abstractNumId="5">
    <w:nsid w:val="0F625D5B"/>
    <w:multiLevelType w:val="multilevel"/>
    <w:tmpl w:val="0F625D5B"/>
    <w:lvl w:ilvl="0" w:tentative="0">
      <w:start w:val="1"/>
      <w:numFmt w:val="decimal"/>
      <w:lvlText w:val="图4.%1"/>
      <w:lvlJc w:val="left"/>
      <w:pPr>
        <w:tabs>
          <w:tab w:val="left" w:pos="420"/>
        </w:tabs>
        <w:ind w:left="420" w:hanging="420"/>
      </w:pPr>
      <w:rPr>
        <w:rFonts w:hint="eastAsia" w:eastAsia="黑体"/>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pStyle w:val="5"/>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F90B85C"/>
    <w:multiLevelType w:val="singleLevel"/>
    <w:tmpl w:val="0F90B85C"/>
    <w:lvl w:ilvl="0" w:tentative="0">
      <w:start w:val="1"/>
      <w:numFmt w:val="decimal"/>
      <w:pStyle w:val="60"/>
      <w:suff w:val="nothing"/>
      <w:lvlText w:val="附图%1、"/>
      <w:lvlJc w:val="left"/>
      <w:pPr>
        <w:tabs>
          <w:tab w:val="left" w:pos="0"/>
        </w:tabs>
        <w:ind w:left="6540" w:firstLine="420"/>
      </w:pPr>
      <w:rPr>
        <w:rFonts w:hint="default"/>
      </w:rPr>
    </w:lvl>
  </w:abstractNum>
  <w:abstractNum w:abstractNumId="7">
    <w:nsid w:val="47D15015"/>
    <w:multiLevelType w:val="multilevel"/>
    <w:tmpl w:val="47D15015"/>
    <w:lvl w:ilvl="0" w:tentative="0">
      <w:start w:val="1"/>
      <w:numFmt w:val="decimal"/>
      <w:suff w:val="space"/>
      <w:lvlText w:val="%1"/>
      <w:lvlJc w:val="left"/>
      <w:pPr>
        <w:ind w:left="0" w:firstLine="0"/>
      </w:pPr>
      <w:rPr>
        <w:rFonts w:hint="eastAsia" w:ascii="黑体" w:eastAsia="黑体"/>
        <w:b w:val="0"/>
        <w:i w:val="0"/>
        <w:sz w:val="32"/>
      </w:rPr>
    </w:lvl>
    <w:lvl w:ilvl="1" w:tentative="0">
      <w:start w:val="1"/>
      <w:numFmt w:val="decimal"/>
      <w:pStyle w:val="4"/>
      <w:suff w:val="space"/>
      <w:lvlText w:val="%1.%2"/>
      <w:lvlJc w:val="left"/>
      <w:pPr>
        <w:ind w:left="0" w:firstLine="0"/>
      </w:pPr>
      <w:rPr>
        <w:rFonts w:hint="eastAsia" w:ascii="黑体" w:eastAsia="黑体"/>
        <w:b w:val="0"/>
        <w:i w:val="0"/>
        <w:sz w:val="28"/>
      </w:rPr>
    </w:lvl>
    <w:lvl w:ilvl="2" w:tentative="0">
      <w:start w:val="1"/>
      <w:numFmt w:val="decimal"/>
      <w:suff w:val="space"/>
      <w:lvlText w:val="%1.%2.%3"/>
      <w:lvlJc w:val="left"/>
      <w:pPr>
        <w:ind w:left="0" w:firstLine="0"/>
      </w:pPr>
      <w:rPr>
        <w:rFonts w:hint="eastAsia" w:ascii="黑体" w:hAnsi="宋体" w:eastAsia="黑体"/>
        <w:b w:val="0"/>
        <w:i w:val="0"/>
        <w:sz w:val="24"/>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8">
    <w:nsid w:val="52BDA3D2"/>
    <w:multiLevelType w:val="singleLevel"/>
    <w:tmpl w:val="52BDA3D2"/>
    <w:lvl w:ilvl="0" w:tentative="0">
      <w:start w:val="1"/>
      <w:numFmt w:val="decimalEnclosedCircleChinese"/>
      <w:suff w:val="nothing"/>
      <w:lvlText w:val="%1　"/>
      <w:lvlJc w:val="left"/>
      <w:pPr>
        <w:ind w:left="0" w:firstLine="1134"/>
      </w:pPr>
      <w:rPr>
        <w:rFonts w:hint="eastAsia"/>
      </w:rPr>
    </w:lvl>
  </w:abstractNum>
  <w:abstractNum w:abstractNumId="9">
    <w:nsid w:val="55FAE8B0"/>
    <w:multiLevelType w:val="multilevel"/>
    <w:tmpl w:val="55FAE8B0"/>
    <w:lvl w:ilvl="0" w:tentative="0">
      <w:start w:val="1"/>
      <w:numFmt w:val="decimal"/>
      <w:pStyle w:val="54"/>
      <w:suff w:val="nothing"/>
      <w:lvlText w:val="%1."/>
      <w:lvlJc w:val="left"/>
      <w:pPr>
        <w:tabs>
          <w:tab w:val="left" w:pos="0"/>
        </w:tabs>
        <w:ind w:left="9" w:leftChars="0" w:firstLine="471" w:firstLineChars="0"/>
      </w:pPr>
      <w:rPr>
        <w:rFonts w:hint="default"/>
      </w:rPr>
    </w:lvl>
    <w:lvl w:ilvl="1" w:tentative="0">
      <w:start w:val="1"/>
      <w:numFmt w:val="decimal"/>
      <w:pStyle w:val="55"/>
      <w:suff w:val="nothing"/>
      <w:lvlText w:val="（%2）"/>
      <w:lvlJc w:val="left"/>
      <w:pPr>
        <w:ind w:left="0" w:firstLine="0"/>
      </w:pPr>
      <w:rPr>
        <w:rFonts w:hint="default" w:ascii="宋体" w:hAnsi="宋体" w:eastAsia="宋体" w:cs="宋体"/>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upp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10">
    <w:nsid w:val="62D44C08"/>
    <w:multiLevelType w:val="singleLevel"/>
    <w:tmpl w:val="62D44C08"/>
    <w:lvl w:ilvl="0" w:tentative="0">
      <w:start w:val="1"/>
      <w:numFmt w:val="lowerLetter"/>
      <w:lvlText w:val="%1."/>
      <w:lvlJc w:val="left"/>
      <w:pPr>
        <w:ind w:left="425" w:hanging="425"/>
      </w:pPr>
      <w:rPr>
        <w:rFonts w:hint="default"/>
      </w:rPr>
    </w:lvl>
  </w:abstractNum>
  <w:abstractNum w:abstractNumId="11">
    <w:nsid w:val="79976BF6"/>
    <w:multiLevelType w:val="singleLevel"/>
    <w:tmpl w:val="79976BF6"/>
    <w:lvl w:ilvl="0" w:tentative="0">
      <w:start w:val="1"/>
      <w:numFmt w:val="chineseCounting"/>
      <w:pStyle w:val="66"/>
      <w:suff w:val="nothing"/>
      <w:lvlText w:val="附件%1、"/>
      <w:lvlJc w:val="left"/>
      <w:pPr>
        <w:ind w:left="0" w:firstLine="420"/>
      </w:pPr>
      <w:rPr>
        <w:rFonts w:hint="eastAsia"/>
      </w:rPr>
    </w:lvl>
  </w:abstractNum>
  <w:abstractNum w:abstractNumId="12">
    <w:nsid w:val="7C3642B2"/>
    <w:multiLevelType w:val="singleLevel"/>
    <w:tmpl w:val="7C3642B2"/>
    <w:lvl w:ilvl="0" w:tentative="0">
      <w:start w:val="1"/>
      <w:numFmt w:val="lowerLetter"/>
      <w:lvlText w:val="%1."/>
      <w:lvlJc w:val="left"/>
      <w:pPr>
        <w:ind w:left="425" w:hanging="425"/>
      </w:pPr>
      <w:rPr>
        <w:rFonts w:hint="default"/>
      </w:rPr>
    </w:lvl>
  </w:abstractNum>
  <w:num w:numId="1">
    <w:abstractNumId w:val="7"/>
  </w:num>
  <w:num w:numId="2">
    <w:abstractNumId w:val="5"/>
  </w:num>
  <w:num w:numId="3">
    <w:abstractNumId w:val="9"/>
  </w:num>
  <w:num w:numId="4">
    <w:abstractNumId w:val="0"/>
  </w:num>
  <w:num w:numId="5">
    <w:abstractNumId w:val="6"/>
  </w:num>
  <w:num w:numId="6">
    <w:abstractNumId w:val="11"/>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8"/>
  </w:num>
  <w:num w:numId="16">
    <w:abstractNumId w:val="2"/>
  </w:num>
  <w:num w:numId="17">
    <w:abstractNumId w:val="10"/>
  </w:num>
  <w:num w:numId="18">
    <w:abstractNumId w:val="1"/>
  </w:num>
  <w:num w:numId="19">
    <w:abstractNumId w:val="12"/>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gyNTk5MmMwY2U2YTg2MWMyNDlhMTQwNDJkYTQwYmUifQ=="/>
  </w:docVars>
  <w:rsids>
    <w:rsidRoot w:val="63603041"/>
    <w:rsid w:val="00002111"/>
    <w:rsid w:val="000035A3"/>
    <w:rsid w:val="00004028"/>
    <w:rsid w:val="00007F00"/>
    <w:rsid w:val="000118A6"/>
    <w:rsid w:val="0001205F"/>
    <w:rsid w:val="00013122"/>
    <w:rsid w:val="00013BDB"/>
    <w:rsid w:val="00015E93"/>
    <w:rsid w:val="0001671B"/>
    <w:rsid w:val="0001687A"/>
    <w:rsid w:val="00017DAF"/>
    <w:rsid w:val="00020778"/>
    <w:rsid w:val="0002164B"/>
    <w:rsid w:val="00022356"/>
    <w:rsid w:val="00024D11"/>
    <w:rsid w:val="000251BA"/>
    <w:rsid w:val="000252A9"/>
    <w:rsid w:val="000276E7"/>
    <w:rsid w:val="00031221"/>
    <w:rsid w:val="00033935"/>
    <w:rsid w:val="00034443"/>
    <w:rsid w:val="00036FD8"/>
    <w:rsid w:val="00037C45"/>
    <w:rsid w:val="00041942"/>
    <w:rsid w:val="00043144"/>
    <w:rsid w:val="0004404C"/>
    <w:rsid w:val="0004472D"/>
    <w:rsid w:val="00044A1B"/>
    <w:rsid w:val="00047FE0"/>
    <w:rsid w:val="00051C2A"/>
    <w:rsid w:val="00052B81"/>
    <w:rsid w:val="000566B5"/>
    <w:rsid w:val="00057CDB"/>
    <w:rsid w:val="000646D1"/>
    <w:rsid w:val="00065823"/>
    <w:rsid w:val="00066544"/>
    <w:rsid w:val="00066EBC"/>
    <w:rsid w:val="0006791F"/>
    <w:rsid w:val="000702E9"/>
    <w:rsid w:val="000708E4"/>
    <w:rsid w:val="00073160"/>
    <w:rsid w:val="00075726"/>
    <w:rsid w:val="00077FB7"/>
    <w:rsid w:val="000832C7"/>
    <w:rsid w:val="00086D67"/>
    <w:rsid w:val="00086F92"/>
    <w:rsid w:val="00087035"/>
    <w:rsid w:val="000870FA"/>
    <w:rsid w:val="00087668"/>
    <w:rsid w:val="0009211C"/>
    <w:rsid w:val="00094BB9"/>
    <w:rsid w:val="000A2C55"/>
    <w:rsid w:val="000A2E07"/>
    <w:rsid w:val="000A64E3"/>
    <w:rsid w:val="000A716C"/>
    <w:rsid w:val="000B2E6C"/>
    <w:rsid w:val="000B3281"/>
    <w:rsid w:val="000B3AA9"/>
    <w:rsid w:val="000B799E"/>
    <w:rsid w:val="000C0A31"/>
    <w:rsid w:val="000C380E"/>
    <w:rsid w:val="000D0E74"/>
    <w:rsid w:val="000D29E0"/>
    <w:rsid w:val="000D2D8E"/>
    <w:rsid w:val="000D6B30"/>
    <w:rsid w:val="000D6F87"/>
    <w:rsid w:val="000D766F"/>
    <w:rsid w:val="000E3771"/>
    <w:rsid w:val="000E68BD"/>
    <w:rsid w:val="000F14D3"/>
    <w:rsid w:val="000F189B"/>
    <w:rsid w:val="000F35FD"/>
    <w:rsid w:val="000F4E55"/>
    <w:rsid w:val="000F50F3"/>
    <w:rsid w:val="000F534B"/>
    <w:rsid w:val="000F5505"/>
    <w:rsid w:val="0010099A"/>
    <w:rsid w:val="00105010"/>
    <w:rsid w:val="00105030"/>
    <w:rsid w:val="00105861"/>
    <w:rsid w:val="0011028C"/>
    <w:rsid w:val="00113F50"/>
    <w:rsid w:val="0011641C"/>
    <w:rsid w:val="00121159"/>
    <w:rsid w:val="00122E62"/>
    <w:rsid w:val="00124232"/>
    <w:rsid w:val="00124925"/>
    <w:rsid w:val="00125361"/>
    <w:rsid w:val="00125EF1"/>
    <w:rsid w:val="00131AE2"/>
    <w:rsid w:val="0013338B"/>
    <w:rsid w:val="00135589"/>
    <w:rsid w:val="001372D7"/>
    <w:rsid w:val="001410B7"/>
    <w:rsid w:val="00142842"/>
    <w:rsid w:val="00144C02"/>
    <w:rsid w:val="00145310"/>
    <w:rsid w:val="001472B2"/>
    <w:rsid w:val="001510F9"/>
    <w:rsid w:val="00151123"/>
    <w:rsid w:val="00151961"/>
    <w:rsid w:val="001522EB"/>
    <w:rsid w:val="00152D3D"/>
    <w:rsid w:val="00153AE4"/>
    <w:rsid w:val="00156055"/>
    <w:rsid w:val="00156FC3"/>
    <w:rsid w:val="00157C71"/>
    <w:rsid w:val="00162A15"/>
    <w:rsid w:val="00165513"/>
    <w:rsid w:val="00166A6D"/>
    <w:rsid w:val="0016714B"/>
    <w:rsid w:val="001707F6"/>
    <w:rsid w:val="00173D62"/>
    <w:rsid w:val="0017698D"/>
    <w:rsid w:val="001827DF"/>
    <w:rsid w:val="0018418A"/>
    <w:rsid w:val="0018553C"/>
    <w:rsid w:val="00187F53"/>
    <w:rsid w:val="001905FF"/>
    <w:rsid w:val="0019128D"/>
    <w:rsid w:val="00191BDE"/>
    <w:rsid w:val="001932DE"/>
    <w:rsid w:val="0019578B"/>
    <w:rsid w:val="00195945"/>
    <w:rsid w:val="001A08DC"/>
    <w:rsid w:val="001A20CB"/>
    <w:rsid w:val="001A4FAC"/>
    <w:rsid w:val="001A5D32"/>
    <w:rsid w:val="001B3F30"/>
    <w:rsid w:val="001B5074"/>
    <w:rsid w:val="001B703E"/>
    <w:rsid w:val="001B724E"/>
    <w:rsid w:val="001C1214"/>
    <w:rsid w:val="001C35B0"/>
    <w:rsid w:val="001C58F7"/>
    <w:rsid w:val="001C6C1B"/>
    <w:rsid w:val="001C79E9"/>
    <w:rsid w:val="001D4D7A"/>
    <w:rsid w:val="001D4D84"/>
    <w:rsid w:val="001D55B8"/>
    <w:rsid w:val="001D7692"/>
    <w:rsid w:val="001E0814"/>
    <w:rsid w:val="001E123C"/>
    <w:rsid w:val="001E2AB4"/>
    <w:rsid w:val="001E4162"/>
    <w:rsid w:val="001E472B"/>
    <w:rsid w:val="001E47F3"/>
    <w:rsid w:val="001E6625"/>
    <w:rsid w:val="001E6C15"/>
    <w:rsid w:val="001F0226"/>
    <w:rsid w:val="001F53E3"/>
    <w:rsid w:val="00200934"/>
    <w:rsid w:val="0020194B"/>
    <w:rsid w:val="00202E66"/>
    <w:rsid w:val="0020498B"/>
    <w:rsid w:val="002052DD"/>
    <w:rsid w:val="00207673"/>
    <w:rsid w:val="00211427"/>
    <w:rsid w:val="00213BC0"/>
    <w:rsid w:val="00215278"/>
    <w:rsid w:val="002206DC"/>
    <w:rsid w:val="00223137"/>
    <w:rsid w:val="00227B86"/>
    <w:rsid w:val="0023041B"/>
    <w:rsid w:val="00231DEE"/>
    <w:rsid w:val="00232E9A"/>
    <w:rsid w:val="002341C4"/>
    <w:rsid w:val="002405DC"/>
    <w:rsid w:val="00240D97"/>
    <w:rsid w:val="00242186"/>
    <w:rsid w:val="00250171"/>
    <w:rsid w:val="00252EA1"/>
    <w:rsid w:val="0025560C"/>
    <w:rsid w:val="0025588B"/>
    <w:rsid w:val="00261CAA"/>
    <w:rsid w:val="0026401D"/>
    <w:rsid w:val="00267449"/>
    <w:rsid w:val="00267A39"/>
    <w:rsid w:val="00270BFE"/>
    <w:rsid w:val="00272096"/>
    <w:rsid w:val="0027476E"/>
    <w:rsid w:val="00277B64"/>
    <w:rsid w:val="00281DD6"/>
    <w:rsid w:val="00282A4B"/>
    <w:rsid w:val="00282B07"/>
    <w:rsid w:val="002842F7"/>
    <w:rsid w:val="00286873"/>
    <w:rsid w:val="00292A0C"/>
    <w:rsid w:val="00292DE5"/>
    <w:rsid w:val="002A2C3E"/>
    <w:rsid w:val="002A2D25"/>
    <w:rsid w:val="002A48B0"/>
    <w:rsid w:val="002B04AC"/>
    <w:rsid w:val="002B0913"/>
    <w:rsid w:val="002B09EB"/>
    <w:rsid w:val="002B0C05"/>
    <w:rsid w:val="002B3A89"/>
    <w:rsid w:val="002B7E0B"/>
    <w:rsid w:val="002C0CCF"/>
    <w:rsid w:val="002C0DEB"/>
    <w:rsid w:val="002D1252"/>
    <w:rsid w:val="002E3AA6"/>
    <w:rsid w:val="002E6226"/>
    <w:rsid w:val="002F2F21"/>
    <w:rsid w:val="002F4E8E"/>
    <w:rsid w:val="0030169B"/>
    <w:rsid w:val="0030434D"/>
    <w:rsid w:val="00305714"/>
    <w:rsid w:val="00311727"/>
    <w:rsid w:val="00314F4D"/>
    <w:rsid w:val="003158D5"/>
    <w:rsid w:val="0031685D"/>
    <w:rsid w:val="00317461"/>
    <w:rsid w:val="003325E6"/>
    <w:rsid w:val="00337749"/>
    <w:rsid w:val="00337E4F"/>
    <w:rsid w:val="003412A4"/>
    <w:rsid w:val="0034396E"/>
    <w:rsid w:val="0034734C"/>
    <w:rsid w:val="0035116E"/>
    <w:rsid w:val="0035132E"/>
    <w:rsid w:val="00351A97"/>
    <w:rsid w:val="00353451"/>
    <w:rsid w:val="00364C97"/>
    <w:rsid w:val="00365EEA"/>
    <w:rsid w:val="0036786B"/>
    <w:rsid w:val="00376163"/>
    <w:rsid w:val="00380030"/>
    <w:rsid w:val="003810B8"/>
    <w:rsid w:val="00383249"/>
    <w:rsid w:val="00385287"/>
    <w:rsid w:val="003860C7"/>
    <w:rsid w:val="0039592F"/>
    <w:rsid w:val="00396033"/>
    <w:rsid w:val="00397B35"/>
    <w:rsid w:val="003A017D"/>
    <w:rsid w:val="003A29F2"/>
    <w:rsid w:val="003A472A"/>
    <w:rsid w:val="003A6CAD"/>
    <w:rsid w:val="003A733A"/>
    <w:rsid w:val="003B1757"/>
    <w:rsid w:val="003B4F66"/>
    <w:rsid w:val="003B612C"/>
    <w:rsid w:val="003B7FF5"/>
    <w:rsid w:val="003C0258"/>
    <w:rsid w:val="003C7A3D"/>
    <w:rsid w:val="003C7B53"/>
    <w:rsid w:val="003D0E60"/>
    <w:rsid w:val="003D2BBC"/>
    <w:rsid w:val="003D424F"/>
    <w:rsid w:val="003D6179"/>
    <w:rsid w:val="003E2845"/>
    <w:rsid w:val="003E5576"/>
    <w:rsid w:val="003E5C56"/>
    <w:rsid w:val="003E7B9A"/>
    <w:rsid w:val="003F1834"/>
    <w:rsid w:val="003F264D"/>
    <w:rsid w:val="003F2946"/>
    <w:rsid w:val="003F37AB"/>
    <w:rsid w:val="00404CF8"/>
    <w:rsid w:val="004061AF"/>
    <w:rsid w:val="00407416"/>
    <w:rsid w:val="00407BCA"/>
    <w:rsid w:val="0041279C"/>
    <w:rsid w:val="0041658F"/>
    <w:rsid w:val="00416953"/>
    <w:rsid w:val="0042188F"/>
    <w:rsid w:val="004229FC"/>
    <w:rsid w:val="004235DB"/>
    <w:rsid w:val="004248B9"/>
    <w:rsid w:val="0042569B"/>
    <w:rsid w:val="00425B3A"/>
    <w:rsid w:val="00426D12"/>
    <w:rsid w:val="004325F0"/>
    <w:rsid w:val="00433441"/>
    <w:rsid w:val="00434DBF"/>
    <w:rsid w:val="0043610C"/>
    <w:rsid w:val="00437BE5"/>
    <w:rsid w:val="00440A43"/>
    <w:rsid w:val="004436C3"/>
    <w:rsid w:val="00445C13"/>
    <w:rsid w:val="00445D14"/>
    <w:rsid w:val="00450583"/>
    <w:rsid w:val="004609EE"/>
    <w:rsid w:val="00466EBD"/>
    <w:rsid w:val="004704FA"/>
    <w:rsid w:val="00470809"/>
    <w:rsid w:val="004717EF"/>
    <w:rsid w:val="00472AFF"/>
    <w:rsid w:val="00472FE0"/>
    <w:rsid w:val="00473085"/>
    <w:rsid w:val="004734CE"/>
    <w:rsid w:val="00473F93"/>
    <w:rsid w:val="00477B24"/>
    <w:rsid w:val="00477C43"/>
    <w:rsid w:val="00477EEF"/>
    <w:rsid w:val="00481546"/>
    <w:rsid w:val="00483BB5"/>
    <w:rsid w:val="004840E3"/>
    <w:rsid w:val="00484C5C"/>
    <w:rsid w:val="00484FAD"/>
    <w:rsid w:val="00485802"/>
    <w:rsid w:val="00485F5D"/>
    <w:rsid w:val="0048733E"/>
    <w:rsid w:val="004876E6"/>
    <w:rsid w:val="00490859"/>
    <w:rsid w:val="00492043"/>
    <w:rsid w:val="00494643"/>
    <w:rsid w:val="00494D3D"/>
    <w:rsid w:val="004A1ECF"/>
    <w:rsid w:val="004A535F"/>
    <w:rsid w:val="004A7977"/>
    <w:rsid w:val="004B39C3"/>
    <w:rsid w:val="004B4A04"/>
    <w:rsid w:val="004B5418"/>
    <w:rsid w:val="004B5613"/>
    <w:rsid w:val="004B5F08"/>
    <w:rsid w:val="004C4F4B"/>
    <w:rsid w:val="004D28C7"/>
    <w:rsid w:val="004D6361"/>
    <w:rsid w:val="004D72F3"/>
    <w:rsid w:val="004D79C4"/>
    <w:rsid w:val="004E4013"/>
    <w:rsid w:val="004E4C8D"/>
    <w:rsid w:val="004E594B"/>
    <w:rsid w:val="004F7BFD"/>
    <w:rsid w:val="0050493E"/>
    <w:rsid w:val="00504A56"/>
    <w:rsid w:val="00506344"/>
    <w:rsid w:val="00513877"/>
    <w:rsid w:val="00520A19"/>
    <w:rsid w:val="00531496"/>
    <w:rsid w:val="00534209"/>
    <w:rsid w:val="0053460E"/>
    <w:rsid w:val="00537FB4"/>
    <w:rsid w:val="0054229E"/>
    <w:rsid w:val="00542603"/>
    <w:rsid w:val="00545A0F"/>
    <w:rsid w:val="00545C10"/>
    <w:rsid w:val="005506A0"/>
    <w:rsid w:val="005513F4"/>
    <w:rsid w:val="0055347F"/>
    <w:rsid w:val="00555C38"/>
    <w:rsid w:val="00555E8D"/>
    <w:rsid w:val="0055697E"/>
    <w:rsid w:val="00563AD7"/>
    <w:rsid w:val="005648B1"/>
    <w:rsid w:val="00565401"/>
    <w:rsid w:val="00565A99"/>
    <w:rsid w:val="00570D25"/>
    <w:rsid w:val="00572397"/>
    <w:rsid w:val="00572A8E"/>
    <w:rsid w:val="00573929"/>
    <w:rsid w:val="00574A4D"/>
    <w:rsid w:val="005761EC"/>
    <w:rsid w:val="00577BDC"/>
    <w:rsid w:val="00587298"/>
    <w:rsid w:val="00587C5B"/>
    <w:rsid w:val="005921AA"/>
    <w:rsid w:val="005922D5"/>
    <w:rsid w:val="00593B4C"/>
    <w:rsid w:val="005949D4"/>
    <w:rsid w:val="005A1985"/>
    <w:rsid w:val="005A2515"/>
    <w:rsid w:val="005A2989"/>
    <w:rsid w:val="005A37EE"/>
    <w:rsid w:val="005A4DEE"/>
    <w:rsid w:val="005A704D"/>
    <w:rsid w:val="005A72F0"/>
    <w:rsid w:val="005B0449"/>
    <w:rsid w:val="005B73B0"/>
    <w:rsid w:val="005C091D"/>
    <w:rsid w:val="005C0C11"/>
    <w:rsid w:val="005C112C"/>
    <w:rsid w:val="005C1669"/>
    <w:rsid w:val="005C4798"/>
    <w:rsid w:val="005D74CD"/>
    <w:rsid w:val="005E0205"/>
    <w:rsid w:val="005E2BC6"/>
    <w:rsid w:val="005F037B"/>
    <w:rsid w:val="005F1765"/>
    <w:rsid w:val="005F35ED"/>
    <w:rsid w:val="005F5674"/>
    <w:rsid w:val="005F6A6F"/>
    <w:rsid w:val="0060042C"/>
    <w:rsid w:val="006021FC"/>
    <w:rsid w:val="006033F4"/>
    <w:rsid w:val="00605324"/>
    <w:rsid w:val="0060641C"/>
    <w:rsid w:val="00607A81"/>
    <w:rsid w:val="00612474"/>
    <w:rsid w:val="00612616"/>
    <w:rsid w:val="00613D44"/>
    <w:rsid w:val="0061670C"/>
    <w:rsid w:val="006216BB"/>
    <w:rsid w:val="006225CC"/>
    <w:rsid w:val="0062509A"/>
    <w:rsid w:val="00627F9D"/>
    <w:rsid w:val="00630C62"/>
    <w:rsid w:val="00631721"/>
    <w:rsid w:val="00631EF3"/>
    <w:rsid w:val="006353E2"/>
    <w:rsid w:val="00636B7D"/>
    <w:rsid w:val="00643FC9"/>
    <w:rsid w:val="0064577B"/>
    <w:rsid w:val="00646C00"/>
    <w:rsid w:val="006509CE"/>
    <w:rsid w:val="00653594"/>
    <w:rsid w:val="00663D1C"/>
    <w:rsid w:val="00671A00"/>
    <w:rsid w:val="00673314"/>
    <w:rsid w:val="00675B6F"/>
    <w:rsid w:val="00677AEB"/>
    <w:rsid w:val="0068232F"/>
    <w:rsid w:val="00682870"/>
    <w:rsid w:val="00686ED2"/>
    <w:rsid w:val="00687968"/>
    <w:rsid w:val="00693BD3"/>
    <w:rsid w:val="00694D68"/>
    <w:rsid w:val="00695E1C"/>
    <w:rsid w:val="00696890"/>
    <w:rsid w:val="006972E6"/>
    <w:rsid w:val="006A0A0E"/>
    <w:rsid w:val="006A15A7"/>
    <w:rsid w:val="006A1F6B"/>
    <w:rsid w:val="006A3CDE"/>
    <w:rsid w:val="006A6BE4"/>
    <w:rsid w:val="006A78E3"/>
    <w:rsid w:val="006B1189"/>
    <w:rsid w:val="006B1F0E"/>
    <w:rsid w:val="006B3785"/>
    <w:rsid w:val="006C026F"/>
    <w:rsid w:val="006C11B4"/>
    <w:rsid w:val="006C2440"/>
    <w:rsid w:val="006C259F"/>
    <w:rsid w:val="006D01FE"/>
    <w:rsid w:val="006D0304"/>
    <w:rsid w:val="006D12BF"/>
    <w:rsid w:val="006D3E5E"/>
    <w:rsid w:val="006D4D35"/>
    <w:rsid w:val="006D5E61"/>
    <w:rsid w:val="006E06DB"/>
    <w:rsid w:val="006E0B16"/>
    <w:rsid w:val="006E341F"/>
    <w:rsid w:val="006E3888"/>
    <w:rsid w:val="006F287B"/>
    <w:rsid w:val="006F454A"/>
    <w:rsid w:val="006F4EB5"/>
    <w:rsid w:val="006F5D21"/>
    <w:rsid w:val="006F766F"/>
    <w:rsid w:val="00702E26"/>
    <w:rsid w:val="00703A1E"/>
    <w:rsid w:val="00704B07"/>
    <w:rsid w:val="00717E6A"/>
    <w:rsid w:val="00720365"/>
    <w:rsid w:val="00722669"/>
    <w:rsid w:val="00724F14"/>
    <w:rsid w:val="0072507A"/>
    <w:rsid w:val="00725E0E"/>
    <w:rsid w:val="007263BF"/>
    <w:rsid w:val="00733CBC"/>
    <w:rsid w:val="00735645"/>
    <w:rsid w:val="00735F7F"/>
    <w:rsid w:val="0073700C"/>
    <w:rsid w:val="00741270"/>
    <w:rsid w:val="00741496"/>
    <w:rsid w:val="00742182"/>
    <w:rsid w:val="007446D7"/>
    <w:rsid w:val="00746D91"/>
    <w:rsid w:val="00747225"/>
    <w:rsid w:val="007532AF"/>
    <w:rsid w:val="00753C2B"/>
    <w:rsid w:val="0075523F"/>
    <w:rsid w:val="00760072"/>
    <w:rsid w:val="007615EA"/>
    <w:rsid w:val="00761896"/>
    <w:rsid w:val="00763AA8"/>
    <w:rsid w:val="00763E82"/>
    <w:rsid w:val="007667E9"/>
    <w:rsid w:val="00770391"/>
    <w:rsid w:val="00771A54"/>
    <w:rsid w:val="00773B9C"/>
    <w:rsid w:val="00777ABC"/>
    <w:rsid w:val="007800AA"/>
    <w:rsid w:val="007818DC"/>
    <w:rsid w:val="00783EC9"/>
    <w:rsid w:val="007905B1"/>
    <w:rsid w:val="00790AA4"/>
    <w:rsid w:val="007919BB"/>
    <w:rsid w:val="00792DBA"/>
    <w:rsid w:val="00797FD8"/>
    <w:rsid w:val="007A0785"/>
    <w:rsid w:val="007A0D09"/>
    <w:rsid w:val="007A22D0"/>
    <w:rsid w:val="007B1AEF"/>
    <w:rsid w:val="007B22C5"/>
    <w:rsid w:val="007B53F0"/>
    <w:rsid w:val="007B5D00"/>
    <w:rsid w:val="007B7D9F"/>
    <w:rsid w:val="007C026D"/>
    <w:rsid w:val="007C4380"/>
    <w:rsid w:val="007C77BC"/>
    <w:rsid w:val="007D1E32"/>
    <w:rsid w:val="007D41F8"/>
    <w:rsid w:val="007D4BCD"/>
    <w:rsid w:val="007E18B5"/>
    <w:rsid w:val="007E2327"/>
    <w:rsid w:val="007E27EE"/>
    <w:rsid w:val="007E7608"/>
    <w:rsid w:val="007E7A7F"/>
    <w:rsid w:val="007F0CC4"/>
    <w:rsid w:val="007F2919"/>
    <w:rsid w:val="007F386C"/>
    <w:rsid w:val="007F46A9"/>
    <w:rsid w:val="007F6A70"/>
    <w:rsid w:val="00802FF7"/>
    <w:rsid w:val="008054A6"/>
    <w:rsid w:val="0080682F"/>
    <w:rsid w:val="00807215"/>
    <w:rsid w:val="00810CAB"/>
    <w:rsid w:val="00810DCC"/>
    <w:rsid w:val="00812BD7"/>
    <w:rsid w:val="00812E67"/>
    <w:rsid w:val="00816155"/>
    <w:rsid w:val="00816226"/>
    <w:rsid w:val="008200AC"/>
    <w:rsid w:val="008207D2"/>
    <w:rsid w:val="00821A92"/>
    <w:rsid w:val="00822D6C"/>
    <w:rsid w:val="00824262"/>
    <w:rsid w:val="008246CE"/>
    <w:rsid w:val="008248CC"/>
    <w:rsid w:val="00825A55"/>
    <w:rsid w:val="008302B6"/>
    <w:rsid w:val="00832693"/>
    <w:rsid w:val="00833896"/>
    <w:rsid w:val="00834823"/>
    <w:rsid w:val="00843B09"/>
    <w:rsid w:val="0084483E"/>
    <w:rsid w:val="00845478"/>
    <w:rsid w:val="00845580"/>
    <w:rsid w:val="00850DB5"/>
    <w:rsid w:val="008534F2"/>
    <w:rsid w:val="00853903"/>
    <w:rsid w:val="00856B0A"/>
    <w:rsid w:val="008570C5"/>
    <w:rsid w:val="0086041F"/>
    <w:rsid w:val="00860E9C"/>
    <w:rsid w:val="00863C12"/>
    <w:rsid w:val="00863C14"/>
    <w:rsid w:val="0086538A"/>
    <w:rsid w:val="008653A1"/>
    <w:rsid w:val="0086679B"/>
    <w:rsid w:val="00866A05"/>
    <w:rsid w:val="00867421"/>
    <w:rsid w:val="00870CB3"/>
    <w:rsid w:val="00875F44"/>
    <w:rsid w:val="00885FE7"/>
    <w:rsid w:val="008863AA"/>
    <w:rsid w:val="008871A2"/>
    <w:rsid w:val="00892CFF"/>
    <w:rsid w:val="008A2949"/>
    <w:rsid w:val="008A2D5E"/>
    <w:rsid w:val="008A3502"/>
    <w:rsid w:val="008A43FB"/>
    <w:rsid w:val="008B42DC"/>
    <w:rsid w:val="008B57DB"/>
    <w:rsid w:val="008B67FC"/>
    <w:rsid w:val="008C1BE9"/>
    <w:rsid w:val="008C268D"/>
    <w:rsid w:val="008C2938"/>
    <w:rsid w:val="008C6899"/>
    <w:rsid w:val="008C6C3E"/>
    <w:rsid w:val="008C73FC"/>
    <w:rsid w:val="008D1947"/>
    <w:rsid w:val="008D1B92"/>
    <w:rsid w:val="008D2445"/>
    <w:rsid w:val="008D2E70"/>
    <w:rsid w:val="008D6624"/>
    <w:rsid w:val="008E02CC"/>
    <w:rsid w:val="008E0740"/>
    <w:rsid w:val="008E2DF0"/>
    <w:rsid w:val="008E3300"/>
    <w:rsid w:val="008E3AA6"/>
    <w:rsid w:val="008E4B62"/>
    <w:rsid w:val="008E745E"/>
    <w:rsid w:val="008F09C6"/>
    <w:rsid w:val="008F2571"/>
    <w:rsid w:val="00901F06"/>
    <w:rsid w:val="0090317C"/>
    <w:rsid w:val="009078E4"/>
    <w:rsid w:val="00915005"/>
    <w:rsid w:val="00916722"/>
    <w:rsid w:val="00926158"/>
    <w:rsid w:val="0092634C"/>
    <w:rsid w:val="009277AB"/>
    <w:rsid w:val="00932E66"/>
    <w:rsid w:val="009351F0"/>
    <w:rsid w:val="0093705B"/>
    <w:rsid w:val="009370B8"/>
    <w:rsid w:val="009409C8"/>
    <w:rsid w:val="009425AF"/>
    <w:rsid w:val="00944839"/>
    <w:rsid w:val="00950716"/>
    <w:rsid w:val="00950ABF"/>
    <w:rsid w:val="0095623A"/>
    <w:rsid w:val="009604D4"/>
    <w:rsid w:val="0096247B"/>
    <w:rsid w:val="00963CD8"/>
    <w:rsid w:val="00965AD7"/>
    <w:rsid w:val="00966582"/>
    <w:rsid w:val="00966C3D"/>
    <w:rsid w:val="00972451"/>
    <w:rsid w:val="00972C29"/>
    <w:rsid w:val="00973A93"/>
    <w:rsid w:val="00982190"/>
    <w:rsid w:val="00984F44"/>
    <w:rsid w:val="00986980"/>
    <w:rsid w:val="00987356"/>
    <w:rsid w:val="009873D6"/>
    <w:rsid w:val="00987AB2"/>
    <w:rsid w:val="00990822"/>
    <w:rsid w:val="00991673"/>
    <w:rsid w:val="0099530F"/>
    <w:rsid w:val="00997A4E"/>
    <w:rsid w:val="00997A77"/>
    <w:rsid w:val="009A3E15"/>
    <w:rsid w:val="009A6BEA"/>
    <w:rsid w:val="009B168A"/>
    <w:rsid w:val="009B35A2"/>
    <w:rsid w:val="009B36AC"/>
    <w:rsid w:val="009B3EC2"/>
    <w:rsid w:val="009B56E3"/>
    <w:rsid w:val="009C0B34"/>
    <w:rsid w:val="009C2035"/>
    <w:rsid w:val="009C4648"/>
    <w:rsid w:val="009D2887"/>
    <w:rsid w:val="009D44C7"/>
    <w:rsid w:val="009D4530"/>
    <w:rsid w:val="009D4581"/>
    <w:rsid w:val="009D78FE"/>
    <w:rsid w:val="009D7940"/>
    <w:rsid w:val="009E0685"/>
    <w:rsid w:val="009E1BFB"/>
    <w:rsid w:val="009E549B"/>
    <w:rsid w:val="009E707D"/>
    <w:rsid w:val="009E7B00"/>
    <w:rsid w:val="009F08E2"/>
    <w:rsid w:val="009F48C2"/>
    <w:rsid w:val="00A016DF"/>
    <w:rsid w:val="00A104DD"/>
    <w:rsid w:val="00A1174B"/>
    <w:rsid w:val="00A14193"/>
    <w:rsid w:val="00A15261"/>
    <w:rsid w:val="00A16BED"/>
    <w:rsid w:val="00A20B02"/>
    <w:rsid w:val="00A2143F"/>
    <w:rsid w:val="00A218ED"/>
    <w:rsid w:val="00A232F7"/>
    <w:rsid w:val="00A23322"/>
    <w:rsid w:val="00A23B65"/>
    <w:rsid w:val="00A25A9C"/>
    <w:rsid w:val="00A26E83"/>
    <w:rsid w:val="00A3451C"/>
    <w:rsid w:val="00A37903"/>
    <w:rsid w:val="00A37AA7"/>
    <w:rsid w:val="00A449B8"/>
    <w:rsid w:val="00A46BD3"/>
    <w:rsid w:val="00A47B0E"/>
    <w:rsid w:val="00A50133"/>
    <w:rsid w:val="00A627A7"/>
    <w:rsid w:val="00A62C8B"/>
    <w:rsid w:val="00A633FC"/>
    <w:rsid w:val="00A6343B"/>
    <w:rsid w:val="00A63EFE"/>
    <w:rsid w:val="00A70DE2"/>
    <w:rsid w:val="00A718B5"/>
    <w:rsid w:val="00A729AF"/>
    <w:rsid w:val="00A739D1"/>
    <w:rsid w:val="00A744AF"/>
    <w:rsid w:val="00A74A8B"/>
    <w:rsid w:val="00A75199"/>
    <w:rsid w:val="00A77DF3"/>
    <w:rsid w:val="00A80E21"/>
    <w:rsid w:val="00A83660"/>
    <w:rsid w:val="00A870A9"/>
    <w:rsid w:val="00A87345"/>
    <w:rsid w:val="00A907DF"/>
    <w:rsid w:val="00A963AA"/>
    <w:rsid w:val="00AA146C"/>
    <w:rsid w:val="00AA2E22"/>
    <w:rsid w:val="00AA301F"/>
    <w:rsid w:val="00AA32B6"/>
    <w:rsid w:val="00AA3E9C"/>
    <w:rsid w:val="00AA4FB5"/>
    <w:rsid w:val="00AB65FF"/>
    <w:rsid w:val="00AB780E"/>
    <w:rsid w:val="00AB7813"/>
    <w:rsid w:val="00AC0968"/>
    <w:rsid w:val="00AC0B95"/>
    <w:rsid w:val="00AC1201"/>
    <w:rsid w:val="00AC24B5"/>
    <w:rsid w:val="00AC583D"/>
    <w:rsid w:val="00AD7532"/>
    <w:rsid w:val="00AE0495"/>
    <w:rsid w:val="00AE13B1"/>
    <w:rsid w:val="00AE1460"/>
    <w:rsid w:val="00AE175E"/>
    <w:rsid w:val="00AE260F"/>
    <w:rsid w:val="00AE3739"/>
    <w:rsid w:val="00AE3839"/>
    <w:rsid w:val="00AE3C7B"/>
    <w:rsid w:val="00AE3EE5"/>
    <w:rsid w:val="00AE4165"/>
    <w:rsid w:val="00AE42F4"/>
    <w:rsid w:val="00AE7FBA"/>
    <w:rsid w:val="00AF689A"/>
    <w:rsid w:val="00AF7E8F"/>
    <w:rsid w:val="00B0015A"/>
    <w:rsid w:val="00B01FC1"/>
    <w:rsid w:val="00B06F72"/>
    <w:rsid w:val="00B103E8"/>
    <w:rsid w:val="00B10EEC"/>
    <w:rsid w:val="00B11EF5"/>
    <w:rsid w:val="00B12A54"/>
    <w:rsid w:val="00B1450E"/>
    <w:rsid w:val="00B154E7"/>
    <w:rsid w:val="00B158A1"/>
    <w:rsid w:val="00B16244"/>
    <w:rsid w:val="00B16FC4"/>
    <w:rsid w:val="00B21408"/>
    <w:rsid w:val="00B23A07"/>
    <w:rsid w:val="00B24EDF"/>
    <w:rsid w:val="00B253F8"/>
    <w:rsid w:val="00B27704"/>
    <w:rsid w:val="00B27AD8"/>
    <w:rsid w:val="00B300DD"/>
    <w:rsid w:val="00B315F8"/>
    <w:rsid w:val="00B31B68"/>
    <w:rsid w:val="00B320AE"/>
    <w:rsid w:val="00B34811"/>
    <w:rsid w:val="00B34DE7"/>
    <w:rsid w:val="00B360A7"/>
    <w:rsid w:val="00B371C2"/>
    <w:rsid w:val="00B376DB"/>
    <w:rsid w:val="00B446BE"/>
    <w:rsid w:val="00B44717"/>
    <w:rsid w:val="00B45AF7"/>
    <w:rsid w:val="00B46616"/>
    <w:rsid w:val="00B50291"/>
    <w:rsid w:val="00B52195"/>
    <w:rsid w:val="00B526DB"/>
    <w:rsid w:val="00B53FB1"/>
    <w:rsid w:val="00B54F6D"/>
    <w:rsid w:val="00B561ED"/>
    <w:rsid w:val="00B5745C"/>
    <w:rsid w:val="00B57847"/>
    <w:rsid w:val="00B6014A"/>
    <w:rsid w:val="00B60B2A"/>
    <w:rsid w:val="00B62F96"/>
    <w:rsid w:val="00B6436E"/>
    <w:rsid w:val="00B66319"/>
    <w:rsid w:val="00B67F5C"/>
    <w:rsid w:val="00B748E2"/>
    <w:rsid w:val="00B74BD3"/>
    <w:rsid w:val="00B74C4F"/>
    <w:rsid w:val="00B750B4"/>
    <w:rsid w:val="00B7529B"/>
    <w:rsid w:val="00B76409"/>
    <w:rsid w:val="00B77641"/>
    <w:rsid w:val="00B8269D"/>
    <w:rsid w:val="00B83FF5"/>
    <w:rsid w:val="00B858A9"/>
    <w:rsid w:val="00B85B32"/>
    <w:rsid w:val="00B92360"/>
    <w:rsid w:val="00B92632"/>
    <w:rsid w:val="00B93D80"/>
    <w:rsid w:val="00B9534C"/>
    <w:rsid w:val="00B96C4D"/>
    <w:rsid w:val="00BA590A"/>
    <w:rsid w:val="00BB24BC"/>
    <w:rsid w:val="00BB6375"/>
    <w:rsid w:val="00BC4623"/>
    <w:rsid w:val="00BC4AC2"/>
    <w:rsid w:val="00BC5180"/>
    <w:rsid w:val="00BD01B4"/>
    <w:rsid w:val="00BD20EE"/>
    <w:rsid w:val="00BD6B29"/>
    <w:rsid w:val="00BD75F8"/>
    <w:rsid w:val="00BE4D5F"/>
    <w:rsid w:val="00BE4F45"/>
    <w:rsid w:val="00BE7E3B"/>
    <w:rsid w:val="00BF1276"/>
    <w:rsid w:val="00BF269D"/>
    <w:rsid w:val="00BF3BE3"/>
    <w:rsid w:val="00BF3C09"/>
    <w:rsid w:val="00BF5F6E"/>
    <w:rsid w:val="00BF6B90"/>
    <w:rsid w:val="00BF7F98"/>
    <w:rsid w:val="00C0669C"/>
    <w:rsid w:val="00C07854"/>
    <w:rsid w:val="00C14A9D"/>
    <w:rsid w:val="00C15716"/>
    <w:rsid w:val="00C16A22"/>
    <w:rsid w:val="00C16A81"/>
    <w:rsid w:val="00C16D06"/>
    <w:rsid w:val="00C178F4"/>
    <w:rsid w:val="00C17FA3"/>
    <w:rsid w:val="00C2208F"/>
    <w:rsid w:val="00C23F03"/>
    <w:rsid w:val="00C25050"/>
    <w:rsid w:val="00C27653"/>
    <w:rsid w:val="00C32E63"/>
    <w:rsid w:val="00C366C5"/>
    <w:rsid w:val="00C36BAB"/>
    <w:rsid w:val="00C3725A"/>
    <w:rsid w:val="00C40B25"/>
    <w:rsid w:val="00C432E3"/>
    <w:rsid w:val="00C444B4"/>
    <w:rsid w:val="00C4629C"/>
    <w:rsid w:val="00C51278"/>
    <w:rsid w:val="00C51D7C"/>
    <w:rsid w:val="00C51F1E"/>
    <w:rsid w:val="00C5303F"/>
    <w:rsid w:val="00C53474"/>
    <w:rsid w:val="00C557D3"/>
    <w:rsid w:val="00C6408C"/>
    <w:rsid w:val="00C64A26"/>
    <w:rsid w:val="00C64D0A"/>
    <w:rsid w:val="00C64D68"/>
    <w:rsid w:val="00C66475"/>
    <w:rsid w:val="00C752BA"/>
    <w:rsid w:val="00C820BD"/>
    <w:rsid w:val="00C8235C"/>
    <w:rsid w:val="00C82C60"/>
    <w:rsid w:val="00C87511"/>
    <w:rsid w:val="00C909DD"/>
    <w:rsid w:val="00C925D4"/>
    <w:rsid w:val="00C928F4"/>
    <w:rsid w:val="00C94583"/>
    <w:rsid w:val="00CB0D8A"/>
    <w:rsid w:val="00CB3036"/>
    <w:rsid w:val="00CB44DD"/>
    <w:rsid w:val="00CB6AB2"/>
    <w:rsid w:val="00CC013E"/>
    <w:rsid w:val="00CC0324"/>
    <w:rsid w:val="00CC2966"/>
    <w:rsid w:val="00CC7099"/>
    <w:rsid w:val="00CD29E4"/>
    <w:rsid w:val="00CD39DB"/>
    <w:rsid w:val="00CD4CB3"/>
    <w:rsid w:val="00CD5344"/>
    <w:rsid w:val="00CE002B"/>
    <w:rsid w:val="00CE0A23"/>
    <w:rsid w:val="00CE0D3D"/>
    <w:rsid w:val="00CE1487"/>
    <w:rsid w:val="00CE14A6"/>
    <w:rsid w:val="00CE183D"/>
    <w:rsid w:val="00CE373C"/>
    <w:rsid w:val="00CE3FAF"/>
    <w:rsid w:val="00CE4486"/>
    <w:rsid w:val="00CE59FB"/>
    <w:rsid w:val="00CE5ADA"/>
    <w:rsid w:val="00CF5C1A"/>
    <w:rsid w:val="00CF627D"/>
    <w:rsid w:val="00D00A40"/>
    <w:rsid w:val="00D06C55"/>
    <w:rsid w:val="00D0783E"/>
    <w:rsid w:val="00D107A4"/>
    <w:rsid w:val="00D11219"/>
    <w:rsid w:val="00D11FA0"/>
    <w:rsid w:val="00D16C3C"/>
    <w:rsid w:val="00D201E0"/>
    <w:rsid w:val="00D27458"/>
    <w:rsid w:val="00D30D89"/>
    <w:rsid w:val="00D30EC8"/>
    <w:rsid w:val="00D352A7"/>
    <w:rsid w:val="00D36362"/>
    <w:rsid w:val="00D4216C"/>
    <w:rsid w:val="00D4361E"/>
    <w:rsid w:val="00D439A9"/>
    <w:rsid w:val="00D459BE"/>
    <w:rsid w:val="00D46434"/>
    <w:rsid w:val="00D46BBB"/>
    <w:rsid w:val="00D47CE9"/>
    <w:rsid w:val="00D52048"/>
    <w:rsid w:val="00D55E07"/>
    <w:rsid w:val="00D617FA"/>
    <w:rsid w:val="00D63327"/>
    <w:rsid w:val="00D652D9"/>
    <w:rsid w:val="00D72437"/>
    <w:rsid w:val="00D7335A"/>
    <w:rsid w:val="00D76872"/>
    <w:rsid w:val="00D80D54"/>
    <w:rsid w:val="00D81598"/>
    <w:rsid w:val="00D83F18"/>
    <w:rsid w:val="00D86003"/>
    <w:rsid w:val="00D8787C"/>
    <w:rsid w:val="00D904D6"/>
    <w:rsid w:val="00D93CE4"/>
    <w:rsid w:val="00D93D2D"/>
    <w:rsid w:val="00D97E66"/>
    <w:rsid w:val="00DA07FC"/>
    <w:rsid w:val="00DA2524"/>
    <w:rsid w:val="00DA2B11"/>
    <w:rsid w:val="00DA45E4"/>
    <w:rsid w:val="00DA6A1F"/>
    <w:rsid w:val="00DB3058"/>
    <w:rsid w:val="00DB3D40"/>
    <w:rsid w:val="00DB69CC"/>
    <w:rsid w:val="00DB728F"/>
    <w:rsid w:val="00DC34DF"/>
    <w:rsid w:val="00DC552E"/>
    <w:rsid w:val="00DC616E"/>
    <w:rsid w:val="00DC7C2C"/>
    <w:rsid w:val="00DC7DF3"/>
    <w:rsid w:val="00DD0206"/>
    <w:rsid w:val="00DD2D75"/>
    <w:rsid w:val="00DD4C5C"/>
    <w:rsid w:val="00DD4C87"/>
    <w:rsid w:val="00DD4F41"/>
    <w:rsid w:val="00DE173E"/>
    <w:rsid w:val="00DE3FFA"/>
    <w:rsid w:val="00DE4B7C"/>
    <w:rsid w:val="00DE5972"/>
    <w:rsid w:val="00DE5E26"/>
    <w:rsid w:val="00DE6EA0"/>
    <w:rsid w:val="00DE770C"/>
    <w:rsid w:val="00DF02A6"/>
    <w:rsid w:val="00DF02AA"/>
    <w:rsid w:val="00DF163B"/>
    <w:rsid w:val="00DF229C"/>
    <w:rsid w:val="00DF5293"/>
    <w:rsid w:val="00DF7272"/>
    <w:rsid w:val="00DF7611"/>
    <w:rsid w:val="00DF772F"/>
    <w:rsid w:val="00E0297B"/>
    <w:rsid w:val="00E02C2D"/>
    <w:rsid w:val="00E0575C"/>
    <w:rsid w:val="00E114A4"/>
    <w:rsid w:val="00E17ADD"/>
    <w:rsid w:val="00E20B0F"/>
    <w:rsid w:val="00E21E1A"/>
    <w:rsid w:val="00E21FB7"/>
    <w:rsid w:val="00E2315B"/>
    <w:rsid w:val="00E24401"/>
    <w:rsid w:val="00E27D55"/>
    <w:rsid w:val="00E3101A"/>
    <w:rsid w:val="00E343CA"/>
    <w:rsid w:val="00E351C9"/>
    <w:rsid w:val="00E3622C"/>
    <w:rsid w:val="00E36FE5"/>
    <w:rsid w:val="00E378A4"/>
    <w:rsid w:val="00E446FA"/>
    <w:rsid w:val="00E44809"/>
    <w:rsid w:val="00E44A3E"/>
    <w:rsid w:val="00E4600A"/>
    <w:rsid w:val="00E461B9"/>
    <w:rsid w:val="00E47314"/>
    <w:rsid w:val="00E477D7"/>
    <w:rsid w:val="00E50F34"/>
    <w:rsid w:val="00E513E2"/>
    <w:rsid w:val="00E51490"/>
    <w:rsid w:val="00E56376"/>
    <w:rsid w:val="00E574B0"/>
    <w:rsid w:val="00E621EB"/>
    <w:rsid w:val="00E6263D"/>
    <w:rsid w:val="00E632E8"/>
    <w:rsid w:val="00E639F4"/>
    <w:rsid w:val="00E6445A"/>
    <w:rsid w:val="00E737F1"/>
    <w:rsid w:val="00E775A9"/>
    <w:rsid w:val="00E80E9B"/>
    <w:rsid w:val="00E81834"/>
    <w:rsid w:val="00E90396"/>
    <w:rsid w:val="00E91CE9"/>
    <w:rsid w:val="00E93263"/>
    <w:rsid w:val="00E94599"/>
    <w:rsid w:val="00E94DE0"/>
    <w:rsid w:val="00EA2441"/>
    <w:rsid w:val="00EA2EDA"/>
    <w:rsid w:val="00EB32D0"/>
    <w:rsid w:val="00EB46DC"/>
    <w:rsid w:val="00EC12AD"/>
    <w:rsid w:val="00EC2DC9"/>
    <w:rsid w:val="00EC2DD7"/>
    <w:rsid w:val="00EC5775"/>
    <w:rsid w:val="00EC7E20"/>
    <w:rsid w:val="00ED0F6D"/>
    <w:rsid w:val="00ED171E"/>
    <w:rsid w:val="00ED2329"/>
    <w:rsid w:val="00ED4227"/>
    <w:rsid w:val="00ED54D1"/>
    <w:rsid w:val="00ED6378"/>
    <w:rsid w:val="00EE14C7"/>
    <w:rsid w:val="00EE2077"/>
    <w:rsid w:val="00EE279E"/>
    <w:rsid w:val="00EE2D55"/>
    <w:rsid w:val="00EE63A3"/>
    <w:rsid w:val="00EE65C6"/>
    <w:rsid w:val="00EE6ECB"/>
    <w:rsid w:val="00EF04AB"/>
    <w:rsid w:val="00EF30B6"/>
    <w:rsid w:val="00EF4592"/>
    <w:rsid w:val="00F03375"/>
    <w:rsid w:val="00F06F9B"/>
    <w:rsid w:val="00F1227D"/>
    <w:rsid w:val="00F12667"/>
    <w:rsid w:val="00F14F07"/>
    <w:rsid w:val="00F15BCB"/>
    <w:rsid w:val="00F15EB3"/>
    <w:rsid w:val="00F2113E"/>
    <w:rsid w:val="00F225CB"/>
    <w:rsid w:val="00F2468E"/>
    <w:rsid w:val="00F25CB0"/>
    <w:rsid w:val="00F25DFD"/>
    <w:rsid w:val="00F26762"/>
    <w:rsid w:val="00F3161C"/>
    <w:rsid w:val="00F31F70"/>
    <w:rsid w:val="00F329FF"/>
    <w:rsid w:val="00F3357D"/>
    <w:rsid w:val="00F33B16"/>
    <w:rsid w:val="00F35FB9"/>
    <w:rsid w:val="00F36BF4"/>
    <w:rsid w:val="00F44EC1"/>
    <w:rsid w:val="00F46F28"/>
    <w:rsid w:val="00F47D54"/>
    <w:rsid w:val="00F53324"/>
    <w:rsid w:val="00F631A6"/>
    <w:rsid w:val="00F634C4"/>
    <w:rsid w:val="00F64813"/>
    <w:rsid w:val="00F655B6"/>
    <w:rsid w:val="00F6767F"/>
    <w:rsid w:val="00F7040F"/>
    <w:rsid w:val="00F708F8"/>
    <w:rsid w:val="00F73091"/>
    <w:rsid w:val="00F80343"/>
    <w:rsid w:val="00F8178A"/>
    <w:rsid w:val="00F82114"/>
    <w:rsid w:val="00F82CA4"/>
    <w:rsid w:val="00F843B4"/>
    <w:rsid w:val="00F85D7F"/>
    <w:rsid w:val="00F8742D"/>
    <w:rsid w:val="00F91F14"/>
    <w:rsid w:val="00F9403B"/>
    <w:rsid w:val="00FA15E5"/>
    <w:rsid w:val="00FA4AA8"/>
    <w:rsid w:val="00FA54FE"/>
    <w:rsid w:val="00FA6EFE"/>
    <w:rsid w:val="00FA7692"/>
    <w:rsid w:val="00FB16A7"/>
    <w:rsid w:val="00FB2F0A"/>
    <w:rsid w:val="00FB31FA"/>
    <w:rsid w:val="00FB5003"/>
    <w:rsid w:val="00FC0629"/>
    <w:rsid w:val="00FC1EE1"/>
    <w:rsid w:val="00FC5245"/>
    <w:rsid w:val="00FD04EB"/>
    <w:rsid w:val="00FD0DC4"/>
    <w:rsid w:val="00FD0F2F"/>
    <w:rsid w:val="00FD169D"/>
    <w:rsid w:val="00FD3780"/>
    <w:rsid w:val="00FD3B59"/>
    <w:rsid w:val="00FD3EE4"/>
    <w:rsid w:val="00FD4F79"/>
    <w:rsid w:val="00FD6109"/>
    <w:rsid w:val="00FD7CE4"/>
    <w:rsid w:val="00FD7F8F"/>
    <w:rsid w:val="00FE207A"/>
    <w:rsid w:val="00FE2F7B"/>
    <w:rsid w:val="00FE3EEA"/>
    <w:rsid w:val="00FE542F"/>
    <w:rsid w:val="00FF064D"/>
    <w:rsid w:val="00FF2204"/>
    <w:rsid w:val="00FF36FA"/>
    <w:rsid w:val="00FF722C"/>
    <w:rsid w:val="010C2B69"/>
    <w:rsid w:val="01211959"/>
    <w:rsid w:val="01606FDB"/>
    <w:rsid w:val="018A7679"/>
    <w:rsid w:val="018E5CC5"/>
    <w:rsid w:val="019E5991"/>
    <w:rsid w:val="01AF5332"/>
    <w:rsid w:val="01CB2E8B"/>
    <w:rsid w:val="01DE1773"/>
    <w:rsid w:val="01FD609D"/>
    <w:rsid w:val="02107DF4"/>
    <w:rsid w:val="02315AA6"/>
    <w:rsid w:val="02663EAD"/>
    <w:rsid w:val="02667B4D"/>
    <w:rsid w:val="027F2F56"/>
    <w:rsid w:val="028043E0"/>
    <w:rsid w:val="029A7D90"/>
    <w:rsid w:val="029E0CDB"/>
    <w:rsid w:val="02A824AD"/>
    <w:rsid w:val="02B96468"/>
    <w:rsid w:val="02BB280A"/>
    <w:rsid w:val="02BC6EF0"/>
    <w:rsid w:val="02BE1E79"/>
    <w:rsid w:val="02CE3403"/>
    <w:rsid w:val="02DA7875"/>
    <w:rsid w:val="02E72159"/>
    <w:rsid w:val="02F8709B"/>
    <w:rsid w:val="03084CFA"/>
    <w:rsid w:val="031C69F7"/>
    <w:rsid w:val="03374F36"/>
    <w:rsid w:val="0337738D"/>
    <w:rsid w:val="03633F1C"/>
    <w:rsid w:val="03685A61"/>
    <w:rsid w:val="036E4623"/>
    <w:rsid w:val="03930613"/>
    <w:rsid w:val="039447DF"/>
    <w:rsid w:val="039667A9"/>
    <w:rsid w:val="03C06894"/>
    <w:rsid w:val="03E07A24"/>
    <w:rsid w:val="041D7567"/>
    <w:rsid w:val="042B3B79"/>
    <w:rsid w:val="046046C1"/>
    <w:rsid w:val="04676213"/>
    <w:rsid w:val="048033EF"/>
    <w:rsid w:val="048760F2"/>
    <w:rsid w:val="048D43A6"/>
    <w:rsid w:val="049D5915"/>
    <w:rsid w:val="04B36EE7"/>
    <w:rsid w:val="04DC643E"/>
    <w:rsid w:val="05033049"/>
    <w:rsid w:val="05446710"/>
    <w:rsid w:val="05485881"/>
    <w:rsid w:val="055479C4"/>
    <w:rsid w:val="05573452"/>
    <w:rsid w:val="055E4967"/>
    <w:rsid w:val="0563090D"/>
    <w:rsid w:val="05790857"/>
    <w:rsid w:val="059F029C"/>
    <w:rsid w:val="05A54A82"/>
    <w:rsid w:val="05C55124"/>
    <w:rsid w:val="05DC0DD7"/>
    <w:rsid w:val="05E0020A"/>
    <w:rsid w:val="064006F3"/>
    <w:rsid w:val="064E12C8"/>
    <w:rsid w:val="065364FE"/>
    <w:rsid w:val="0678353E"/>
    <w:rsid w:val="06835F3A"/>
    <w:rsid w:val="06965E6A"/>
    <w:rsid w:val="06AE7966"/>
    <w:rsid w:val="06CD24E2"/>
    <w:rsid w:val="06E51436"/>
    <w:rsid w:val="06FA457D"/>
    <w:rsid w:val="070E509C"/>
    <w:rsid w:val="07173E6F"/>
    <w:rsid w:val="072F7E40"/>
    <w:rsid w:val="073C7C63"/>
    <w:rsid w:val="07524795"/>
    <w:rsid w:val="075B002A"/>
    <w:rsid w:val="075F5104"/>
    <w:rsid w:val="077C4159"/>
    <w:rsid w:val="079B4B3D"/>
    <w:rsid w:val="07B471FE"/>
    <w:rsid w:val="07CB1364"/>
    <w:rsid w:val="07CC279A"/>
    <w:rsid w:val="07F65A68"/>
    <w:rsid w:val="082F1E97"/>
    <w:rsid w:val="08805332"/>
    <w:rsid w:val="08844E22"/>
    <w:rsid w:val="088A7F5F"/>
    <w:rsid w:val="08901A19"/>
    <w:rsid w:val="08A77042"/>
    <w:rsid w:val="08C23B9D"/>
    <w:rsid w:val="08C6368D"/>
    <w:rsid w:val="08E51639"/>
    <w:rsid w:val="08F822C4"/>
    <w:rsid w:val="09093579"/>
    <w:rsid w:val="091066B6"/>
    <w:rsid w:val="091343F8"/>
    <w:rsid w:val="091D4E83"/>
    <w:rsid w:val="0938261D"/>
    <w:rsid w:val="09385C0D"/>
    <w:rsid w:val="09530BE3"/>
    <w:rsid w:val="09565C33"/>
    <w:rsid w:val="096376DD"/>
    <w:rsid w:val="09772BD9"/>
    <w:rsid w:val="097766A4"/>
    <w:rsid w:val="097906FF"/>
    <w:rsid w:val="09815806"/>
    <w:rsid w:val="09C34CD6"/>
    <w:rsid w:val="09E013D8"/>
    <w:rsid w:val="0A042978"/>
    <w:rsid w:val="0A164154"/>
    <w:rsid w:val="0A4F1460"/>
    <w:rsid w:val="0A7113D6"/>
    <w:rsid w:val="0AA5353C"/>
    <w:rsid w:val="0AB37C41"/>
    <w:rsid w:val="0AD35BED"/>
    <w:rsid w:val="0AE72965"/>
    <w:rsid w:val="0AF52007"/>
    <w:rsid w:val="0AF7207F"/>
    <w:rsid w:val="0AFC27B3"/>
    <w:rsid w:val="0B065DB5"/>
    <w:rsid w:val="0B0C10FF"/>
    <w:rsid w:val="0B0E781A"/>
    <w:rsid w:val="0B106D25"/>
    <w:rsid w:val="0B195D7B"/>
    <w:rsid w:val="0B2E71DA"/>
    <w:rsid w:val="0B316DB7"/>
    <w:rsid w:val="0B372620"/>
    <w:rsid w:val="0B3F7726"/>
    <w:rsid w:val="0B666A61"/>
    <w:rsid w:val="0B680A2B"/>
    <w:rsid w:val="0B6947A3"/>
    <w:rsid w:val="0B8E502D"/>
    <w:rsid w:val="0B9178BD"/>
    <w:rsid w:val="0B995089"/>
    <w:rsid w:val="0BB93035"/>
    <w:rsid w:val="0BBF349C"/>
    <w:rsid w:val="0BD6482C"/>
    <w:rsid w:val="0BF71DAF"/>
    <w:rsid w:val="0BF7590B"/>
    <w:rsid w:val="0C0B7609"/>
    <w:rsid w:val="0C160E49"/>
    <w:rsid w:val="0C8A49D1"/>
    <w:rsid w:val="0CAF38D3"/>
    <w:rsid w:val="0CCB6973"/>
    <w:rsid w:val="0CCF0636"/>
    <w:rsid w:val="0CFB767D"/>
    <w:rsid w:val="0CFD51A3"/>
    <w:rsid w:val="0CFF53BF"/>
    <w:rsid w:val="0D15610F"/>
    <w:rsid w:val="0D245C18"/>
    <w:rsid w:val="0D2A6A2B"/>
    <w:rsid w:val="0D782393"/>
    <w:rsid w:val="0D814E9C"/>
    <w:rsid w:val="0D821B4C"/>
    <w:rsid w:val="0DA43871"/>
    <w:rsid w:val="0DF77E44"/>
    <w:rsid w:val="0E1529C0"/>
    <w:rsid w:val="0E26072A"/>
    <w:rsid w:val="0E3E791A"/>
    <w:rsid w:val="0E481D12"/>
    <w:rsid w:val="0E4F28EB"/>
    <w:rsid w:val="0E525ADF"/>
    <w:rsid w:val="0E562298"/>
    <w:rsid w:val="0E6950C2"/>
    <w:rsid w:val="0E8042DE"/>
    <w:rsid w:val="0E8611C8"/>
    <w:rsid w:val="0E8A515C"/>
    <w:rsid w:val="0EA7554F"/>
    <w:rsid w:val="0EB36461"/>
    <w:rsid w:val="0ECA7307"/>
    <w:rsid w:val="0EDB59B8"/>
    <w:rsid w:val="0EE4486D"/>
    <w:rsid w:val="0EF3685E"/>
    <w:rsid w:val="0EFD592E"/>
    <w:rsid w:val="0F0C30EF"/>
    <w:rsid w:val="0F0F11BE"/>
    <w:rsid w:val="0F640675"/>
    <w:rsid w:val="0F7656DC"/>
    <w:rsid w:val="0F864220"/>
    <w:rsid w:val="0F955E06"/>
    <w:rsid w:val="0FC6689B"/>
    <w:rsid w:val="0FD7488D"/>
    <w:rsid w:val="0FDC101C"/>
    <w:rsid w:val="0FDD28C7"/>
    <w:rsid w:val="0FFB7896"/>
    <w:rsid w:val="10036F54"/>
    <w:rsid w:val="1017657C"/>
    <w:rsid w:val="10184E62"/>
    <w:rsid w:val="101F2AD6"/>
    <w:rsid w:val="10205149"/>
    <w:rsid w:val="102D3EDB"/>
    <w:rsid w:val="102E6E40"/>
    <w:rsid w:val="10477289"/>
    <w:rsid w:val="10594DE6"/>
    <w:rsid w:val="106B68C8"/>
    <w:rsid w:val="106D3063"/>
    <w:rsid w:val="108C1C49"/>
    <w:rsid w:val="11020575"/>
    <w:rsid w:val="1119164B"/>
    <w:rsid w:val="11230F0A"/>
    <w:rsid w:val="11272EA2"/>
    <w:rsid w:val="11397AC9"/>
    <w:rsid w:val="11406D4B"/>
    <w:rsid w:val="11627514"/>
    <w:rsid w:val="11916802"/>
    <w:rsid w:val="11B30526"/>
    <w:rsid w:val="11D11587"/>
    <w:rsid w:val="12185725"/>
    <w:rsid w:val="12274A70"/>
    <w:rsid w:val="124244CE"/>
    <w:rsid w:val="124E4E5A"/>
    <w:rsid w:val="12612E3B"/>
    <w:rsid w:val="127C6BC4"/>
    <w:rsid w:val="12823991"/>
    <w:rsid w:val="129A4B72"/>
    <w:rsid w:val="12E7492B"/>
    <w:rsid w:val="12EF7E22"/>
    <w:rsid w:val="130B7721"/>
    <w:rsid w:val="132D4308"/>
    <w:rsid w:val="133D279D"/>
    <w:rsid w:val="135A6B89"/>
    <w:rsid w:val="1374267F"/>
    <w:rsid w:val="137A01A1"/>
    <w:rsid w:val="13815793"/>
    <w:rsid w:val="138E75D3"/>
    <w:rsid w:val="139D148E"/>
    <w:rsid w:val="13A75426"/>
    <w:rsid w:val="13E42C19"/>
    <w:rsid w:val="143666D2"/>
    <w:rsid w:val="144D65A6"/>
    <w:rsid w:val="14742A65"/>
    <w:rsid w:val="14A60BBB"/>
    <w:rsid w:val="14AC071E"/>
    <w:rsid w:val="14AD4E8A"/>
    <w:rsid w:val="14D346C6"/>
    <w:rsid w:val="151632A6"/>
    <w:rsid w:val="15211C4B"/>
    <w:rsid w:val="153100E0"/>
    <w:rsid w:val="154D1CD8"/>
    <w:rsid w:val="15664D87"/>
    <w:rsid w:val="157250BC"/>
    <w:rsid w:val="158E364B"/>
    <w:rsid w:val="15A33119"/>
    <w:rsid w:val="15AD0685"/>
    <w:rsid w:val="15E433A4"/>
    <w:rsid w:val="15F66C34"/>
    <w:rsid w:val="15FC6940"/>
    <w:rsid w:val="15FE40E3"/>
    <w:rsid w:val="161B669A"/>
    <w:rsid w:val="162D4D4B"/>
    <w:rsid w:val="163015C4"/>
    <w:rsid w:val="16A411B1"/>
    <w:rsid w:val="16B32D77"/>
    <w:rsid w:val="16C66DAA"/>
    <w:rsid w:val="16CB4564"/>
    <w:rsid w:val="16E3540A"/>
    <w:rsid w:val="16EF0253"/>
    <w:rsid w:val="16FF0087"/>
    <w:rsid w:val="17051824"/>
    <w:rsid w:val="17092996"/>
    <w:rsid w:val="17244882"/>
    <w:rsid w:val="172C1BA1"/>
    <w:rsid w:val="175C51BC"/>
    <w:rsid w:val="17800EAB"/>
    <w:rsid w:val="17871CFD"/>
    <w:rsid w:val="178A3129"/>
    <w:rsid w:val="17AF79E2"/>
    <w:rsid w:val="17D47448"/>
    <w:rsid w:val="17F0312F"/>
    <w:rsid w:val="17F65611"/>
    <w:rsid w:val="18636BC3"/>
    <w:rsid w:val="18680761"/>
    <w:rsid w:val="1881312C"/>
    <w:rsid w:val="188501DE"/>
    <w:rsid w:val="18911A12"/>
    <w:rsid w:val="18B03A11"/>
    <w:rsid w:val="18B83CF9"/>
    <w:rsid w:val="193430FC"/>
    <w:rsid w:val="193E726F"/>
    <w:rsid w:val="194505FE"/>
    <w:rsid w:val="19593CDE"/>
    <w:rsid w:val="197D1459"/>
    <w:rsid w:val="19805192"/>
    <w:rsid w:val="198C7FDB"/>
    <w:rsid w:val="19936669"/>
    <w:rsid w:val="199C5D44"/>
    <w:rsid w:val="19A05834"/>
    <w:rsid w:val="19BE5A4B"/>
    <w:rsid w:val="1A0822E3"/>
    <w:rsid w:val="1A0E7657"/>
    <w:rsid w:val="1A1F2BFD"/>
    <w:rsid w:val="1A3537A8"/>
    <w:rsid w:val="1A3B730B"/>
    <w:rsid w:val="1A432F8A"/>
    <w:rsid w:val="1A4E5290"/>
    <w:rsid w:val="1A620D3B"/>
    <w:rsid w:val="1A642D06"/>
    <w:rsid w:val="1A83746A"/>
    <w:rsid w:val="1AD03EF7"/>
    <w:rsid w:val="1AD56FF2"/>
    <w:rsid w:val="1ADF0F98"/>
    <w:rsid w:val="1AE479A2"/>
    <w:rsid w:val="1B2129A5"/>
    <w:rsid w:val="1B21661A"/>
    <w:rsid w:val="1B2A7AAB"/>
    <w:rsid w:val="1B4D4FFE"/>
    <w:rsid w:val="1B5857EC"/>
    <w:rsid w:val="1B617245"/>
    <w:rsid w:val="1B7D5788"/>
    <w:rsid w:val="1B852F33"/>
    <w:rsid w:val="1BE070E8"/>
    <w:rsid w:val="1BE96189"/>
    <w:rsid w:val="1BFA27C7"/>
    <w:rsid w:val="1C0A2EB8"/>
    <w:rsid w:val="1C0C71B1"/>
    <w:rsid w:val="1C19367C"/>
    <w:rsid w:val="1C270975"/>
    <w:rsid w:val="1C2748B8"/>
    <w:rsid w:val="1C34594F"/>
    <w:rsid w:val="1C4A7CD9"/>
    <w:rsid w:val="1C6551CC"/>
    <w:rsid w:val="1C6E22CA"/>
    <w:rsid w:val="1C880A5C"/>
    <w:rsid w:val="1C896A53"/>
    <w:rsid w:val="1CA83640"/>
    <w:rsid w:val="1CB810E7"/>
    <w:rsid w:val="1CE1063D"/>
    <w:rsid w:val="1CFC5708"/>
    <w:rsid w:val="1D183E39"/>
    <w:rsid w:val="1D715A06"/>
    <w:rsid w:val="1DF16B20"/>
    <w:rsid w:val="1DF33169"/>
    <w:rsid w:val="1E026ABD"/>
    <w:rsid w:val="1E0563C6"/>
    <w:rsid w:val="1E1A431A"/>
    <w:rsid w:val="1E340C41"/>
    <w:rsid w:val="1E3429EF"/>
    <w:rsid w:val="1E68459C"/>
    <w:rsid w:val="1EB41B2B"/>
    <w:rsid w:val="1EC43D73"/>
    <w:rsid w:val="1ED44095"/>
    <w:rsid w:val="1EFE2579"/>
    <w:rsid w:val="1F0938D3"/>
    <w:rsid w:val="1F0A567B"/>
    <w:rsid w:val="1F110373"/>
    <w:rsid w:val="1F1B2CC6"/>
    <w:rsid w:val="1F3C7DAD"/>
    <w:rsid w:val="1F5C044F"/>
    <w:rsid w:val="1F884DA0"/>
    <w:rsid w:val="1F8B2AE2"/>
    <w:rsid w:val="1F8C6152"/>
    <w:rsid w:val="1F972110"/>
    <w:rsid w:val="1FB9308A"/>
    <w:rsid w:val="1FE346CD"/>
    <w:rsid w:val="1FE87F35"/>
    <w:rsid w:val="1FEC17D3"/>
    <w:rsid w:val="1FED554B"/>
    <w:rsid w:val="201E11C5"/>
    <w:rsid w:val="202C2B46"/>
    <w:rsid w:val="203B4489"/>
    <w:rsid w:val="203C18B7"/>
    <w:rsid w:val="204818BF"/>
    <w:rsid w:val="204C400B"/>
    <w:rsid w:val="205834A5"/>
    <w:rsid w:val="20783067"/>
    <w:rsid w:val="20C444FE"/>
    <w:rsid w:val="20F43452"/>
    <w:rsid w:val="21042B4C"/>
    <w:rsid w:val="2113309E"/>
    <w:rsid w:val="21274A8D"/>
    <w:rsid w:val="21425423"/>
    <w:rsid w:val="215533A8"/>
    <w:rsid w:val="21575EA1"/>
    <w:rsid w:val="21620938"/>
    <w:rsid w:val="21823A71"/>
    <w:rsid w:val="219537A4"/>
    <w:rsid w:val="21D544E9"/>
    <w:rsid w:val="21DE15EF"/>
    <w:rsid w:val="21FC3824"/>
    <w:rsid w:val="22162B37"/>
    <w:rsid w:val="222F3BF9"/>
    <w:rsid w:val="224F08FC"/>
    <w:rsid w:val="2254749D"/>
    <w:rsid w:val="22861CB8"/>
    <w:rsid w:val="22C00CF5"/>
    <w:rsid w:val="22E70030"/>
    <w:rsid w:val="22F23892"/>
    <w:rsid w:val="23163ED6"/>
    <w:rsid w:val="231B12FE"/>
    <w:rsid w:val="23492A98"/>
    <w:rsid w:val="235F43AF"/>
    <w:rsid w:val="238B5659"/>
    <w:rsid w:val="239C0C8D"/>
    <w:rsid w:val="23AD16E8"/>
    <w:rsid w:val="23B73EA6"/>
    <w:rsid w:val="23D61C99"/>
    <w:rsid w:val="23DD3EED"/>
    <w:rsid w:val="23F5677C"/>
    <w:rsid w:val="23FC3FAF"/>
    <w:rsid w:val="2400212D"/>
    <w:rsid w:val="2424304F"/>
    <w:rsid w:val="24294678"/>
    <w:rsid w:val="24630A91"/>
    <w:rsid w:val="248D4C07"/>
    <w:rsid w:val="24B44889"/>
    <w:rsid w:val="24ED78A9"/>
    <w:rsid w:val="24F86524"/>
    <w:rsid w:val="24FD1D8D"/>
    <w:rsid w:val="25550C1E"/>
    <w:rsid w:val="255B6AB3"/>
    <w:rsid w:val="255E0351"/>
    <w:rsid w:val="257B0F03"/>
    <w:rsid w:val="25873D4C"/>
    <w:rsid w:val="25CB4399"/>
    <w:rsid w:val="25D53C59"/>
    <w:rsid w:val="25D95E65"/>
    <w:rsid w:val="25EE7927"/>
    <w:rsid w:val="26003694"/>
    <w:rsid w:val="2613066B"/>
    <w:rsid w:val="261455E0"/>
    <w:rsid w:val="26154EB4"/>
    <w:rsid w:val="261C26E6"/>
    <w:rsid w:val="26263565"/>
    <w:rsid w:val="263135A5"/>
    <w:rsid w:val="263C0693"/>
    <w:rsid w:val="26600825"/>
    <w:rsid w:val="267554F7"/>
    <w:rsid w:val="2677791D"/>
    <w:rsid w:val="267C13D7"/>
    <w:rsid w:val="269A22AF"/>
    <w:rsid w:val="26B532BF"/>
    <w:rsid w:val="26BF01D9"/>
    <w:rsid w:val="26CD4A1C"/>
    <w:rsid w:val="26CD578F"/>
    <w:rsid w:val="26D46B1D"/>
    <w:rsid w:val="26EA68A8"/>
    <w:rsid w:val="27135B8A"/>
    <w:rsid w:val="27217CEC"/>
    <w:rsid w:val="273B6E85"/>
    <w:rsid w:val="27912C60"/>
    <w:rsid w:val="27BC17BF"/>
    <w:rsid w:val="27E15995"/>
    <w:rsid w:val="27FD02F5"/>
    <w:rsid w:val="280F6544"/>
    <w:rsid w:val="281843F5"/>
    <w:rsid w:val="283E5421"/>
    <w:rsid w:val="283F26BC"/>
    <w:rsid w:val="28453CC8"/>
    <w:rsid w:val="28791F29"/>
    <w:rsid w:val="2888016A"/>
    <w:rsid w:val="28902F18"/>
    <w:rsid w:val="28930A95"/>
    <w:rsid w:val="28B65EDD"/>
    <w:rsid w:val="28CA0A01"/>
    <w:rsid w:val="28DE347B"/>
    <w:rsid w:val="28F33BD2"/>
    <w:rsid w:val="28F6108D"/>
    <w:rsid w:val="29193E2B"/>
    <w:rsid w:val="29483CFC"/>
    <w:rsid w:val="29624758"/>
    <w:rsid w:val="29671ECA"/>
    <w:rsid w:val="297D349C"/>
    <w:rsid w:val="298D7483"/>
    <w:rsid w:val="299A0972"/>
    <w:rsid w:val="29AC35F6"/>
    <w:rsid w:val="29B449E4"/>
    <w:rsid w:val="29CE019B"/>
    <w:rsid w:val="29F7651B"/>
    <w:rsid w:val="2A0C2A72"/>
    <w:rsid w:val="2A3971ED"/>
    <w:rsid w:val="2A467BD6"/>
    <w:rsid w:val="2A703001"/>
    <w:rsid w:val="2A8D770F"/>
    <w:rsid w:val="2A915858"/>
    <w:rsid w:val="2AA9129D"/>
    <w:rsid w:val="2AB078A1"/>
    <w:rsid w:val="2ABC6246"/>
    <w:rsid w:val="2AE31A25"/>
    <w:rsid w:val="2AE95028"/>
    <w:rsid w:val="2B2B6F28"/>
    <w:rsid w:val="2B377690"/>
    <w:rsid w:val="2B481888"/>
    <w:rsid w:val="2B513A1E"/>
    <w:rsid w:val="2B560448"/>
    <w:rsid w:val="2B5C7557"/>
    <w:rsid w:val="2B5E72FD"/>
    <w:rsid w:val="2B7037B2"/>
    <w:rsid w:val="2B7D7783"/>
    <w:rsid w:val="2B836D64"/>
    <w:rsid w:val="2B8C3E6A"/>
    <w:rsid w:val="2B991C74"/>
    <w:rsid w:val="2B9E508B"/>
    <w:rsid w:val="2BAC027F"/>
    <w:rsid w:val="2BB327BE"/>
    <w:rsid w:val="2BB60EE7"/>
    <w:rsid w:val="2BBE1B4A"/>
    <w:rsid w:val="2BBE7D9C"/>
    <w:rsid w:val="2BEF44BB"/>
    <w:rsid w:val="2C0D6C02"/>
    <w:rsid w:val="2C273B93"/>
    <w:rsid w:val="2C453170"/>
    <w:rsid w:val="2C495545"/>
    <w:rsid w:val="2C4A23DD"/>
    <w:rsid w:val="2C567107"/>
    <w:rsid w:val="2C6B7F24"/>
    <w:rsid w:val="2CB25B52"/>
    <w:rsid w:val="2D031489"/>
    <w:rsid w:val="2D095281"/>
    <w:rsid w:val="2D0E2451"/>
    <w:rsid w:val="2D1D4C6D"/>
    <w:rsid w:val="2D2E0549"/>
    <w:rsid w:val="2D3C3247"/>
    <w:rsid w:val="2D851856"/>
    <w:rsid w:val="2E0221C2"/>
    <w:rsid w:val="2E3031D3"/>
    <w:rsid w:val="2E4550AD"/>
    <w:rsid w:val="2E5B7B24"/>
    <w:rsid w:val="2E7D5CEC"/>
    <w:rsid w:val="2E807AA7"/>
    <w:rsid w:val="2E847AE6"/>
    <w:rsid w:val="2E903DFD"/>
    <w:rsid w:val="2E9112AB"/>
    <w:rsid w:val="2EC519AD"/>
    <w:rsid w:val="2EC5717E"/>
    <w:rsid w:val="2ECD27D0"/>
    <w:rsid w:val="2ED55B28"/>
    <w:rsid w:val="2ED61573"/>
    <w:rsid w:val="2EE26967"/>
    <w:rsid w:val="2EE45224"/>
    <w:rsid w:val="2EF17855"/>
    <w:rsid w:val="2F1A178D"/>
    <w:rsid w:val="2F51608C"/>
    <w:rsid w:val="2FA057DA"/>
    <w:rsid w:val="2FBE65BC"/>
    <w:rsid w:val="2FF901F3"/>
    <w:rsid w:val="30336FAA"/>
    <w:rsid w:val="3038011D"/>
    <w:rsid w:val="303F594F"/>
    <w:rsid w:val="304167F7"/>
    <w:rsid w:val="30422D49"/>
    <w:rsid w:val="304657BB"/>
    <w:rsid w:val="3050190A"/>
    <w:rsid w:val="306A7D83"/>
    <w:rsid w:val="30A56CD5"/>
    <w:rsid w:val="30C47A81"/>
    <w:rsid w:val="30D53BFF"/>
    <w:rsid w:val="30DF67EA"/>
    <w:rsid w:val="30E81B43"/>
    <w:rsid w:val="30FB7E9A"/>
    <w:rsid w:val="31307AFE"/>
    <w:rsid w:val="313F372D"/>
    <w:rsid w:val="315F16D9"/>
    <w:rsid w:val="317258B0"/>
    <w:rsid w:val="31AD68E8"/>
    <w:rsid w:val="31C8379C"/>
    <w:rsid w:val="31FF0314"/>
    <w:rsid w:val="32075FF9"/>
    <w:rsid w:val="321E1594"/>
    <w:rsid w:val="322222E5"/>
    <w:rsid w:val="322B489E"/>
    <w:rsid w:val="32422005"/>
    <w:rsid w:val="324803BF"/>
    <w:rsid w:val="32673C7A"/>
    <w:rsid w:val="326835EA"/>
    <w:rsid w:val="326C0551"/>
    <w:rsid w:val="32777CC8"/>
    <w:rsid w:val="327B2543"/>
    <w:rsid w:val="327F64D7"/>
    <w:rsid w:val="32851613"/>
    <w:rsid w:val="32DF0D23"/>
    <w:rsid w:val="33062754"/>
    <w:rsid w:val="3306714A"/>
    <w:rsid w:val="330F6123"/>
    <w:rsid w:val="33271EC7"/>
    <w:rsid w:val="3330157F"/>
    <w:rsid w:val="335214F5"/>
    <w:rsid w:val="33571065"/>
    <w:rsid w:val="33890C8F"/>
    <w:rsid w:val="338A6CBC"/>
    <w:rsid w:val="33947D60"/>
    <w:rsid w:val="339836C4"/>
    <w:rsid w:val="33B201E6"/>
    <w:rsid w:val="33D017F1"/>
    <w:rsid w:val="340145E2"/>
    <w:rsid w:val="34030A42"/>
    <w:rsid w:val="341033D2"/>
    <w:rsid w:val="345B2549"/>
    <w:rsid w:val="34607C42"/>
    <w:rsid w:val="34610577"/>
    <w:rsid w:val="34853B4C"/>
    <w:rsid w:val="348E093D"/>
    <w:rsid w:val="34930017"/>
    <w:rsid w:val="34A044E2"/>
    <w:rsid w:val="34CC3529"/>
    <w:rsid w:val="35040F15"/>
    <w:rsid w:val="351453A4"/>
    <w:rsid w:val="351849C1"/>
    <w:rsid w:val="35245BD2"/>
    <w:rsid w:val="356419B4"/>
    <w:rsid w:val="356A2270"/>
    <w:rsid w:val="35731BF7"/>
    <w:rsid w:val="357961FE"/>
    <w:rsid w:val="357F059C"/>
    <w:rsid w:val="359833FE"/>
    <w:rsid w:val="35A324DC"/>
    <w:rsid w:val="35D067A7"/>
    <w:rsid w:val="35D17BD5"/>
    <w:rsid w:val="35F621A2"/>
    <w:rsid w:val="35F80DD4"/>
    <w:rsid w:val="35F9034E"/>
    <w:rsid w:val="360C1CB6"/>
    <w:rsid w:val="362A0508"/>
    <w:rsid w:val="362D7FF8"/>
    <w:rsid w:val="36483084"/>
    <w:rsid w:val="36687282"/>
    <w:rsid w:val="36732D61"/>
    <w:rsid w:val="3676374D"/>
    <w:rsid w:val="369C5811"/>
    <w:rsid w:val="36A6609A"/>
    <w:rsid w:val="36B35051"/>
    <w:rsid w:val="36B966B0"/>
    <w:rsid w:val="36F530E8"/>
    <w:rsid w:val="36F86858"/>
    <w:rsid w:val="370116CC"/>
    <w:rsid w:val="3715740A"/>
    <w:rsid w:val="371B2546"/>
    <w:rsid w:val="37695060"/>
    <w:rsid w:val="37AE6F16"/>
    <w:rsid w:val="37B17BB1"/>
    <w:rsid w:val="37B87D95"/>
    <w:rsid w:val="37BE3F44"/>
    <w:rsid w:val="37FF59C4"/>
    <w:rsid w:val="381C086C"/>
    <w:rsid w:val="38213C3C"/>
    <w:rsid w:val="38341B11"/>
    <w:rsid w:val="383A1294"/>
    <w:rsid w:val="388A225D"/>
    <w:rsid w:val="388F2773"/>
    <w:rsid w:val="38B30C88"/>
    <w:rsid w:val="39047736"/>
    <w:rsid w:val="393022D9"/>
    <w:rsid w:val="396401D4"/>
    <w:rsid w:val="3974645A"/>
    <w:rsid w:val="398443D3"/>
    <w:rsid w:val="39981C2C"/>
    <w:rsid w:val="39A131D7"/>
    <w:rsid w:val="39A22AAB"/>
    <w:rsid w:val="39AB195F"/>
    <w:rsid w:val="39AB5E03"/>
    <w:rsid w:val="39BF6117"/>
    <w:rsid w:val="39D4535A"/>
    <w:rsid w:val="3A085372"/>
    <w:rsid w:val="3A2260A1"/>
    <w:rsid w:val="3A322EC1"/>
    <w:rsid w:val="3A455684"/>
    <w:rsid w:val="3A5C3C90"/>
    <w:rsid w:val="3A685AA2"/>
    <w:rsid w:val="3AAD161F"/>
    <w:rsid w:val="3AE436A5"/>
    <w:rsid w:val="3AF37043"/>
    <w:rsid w:val="3B2714BA"/>
    <w:rsid w:val="3B4071CD"/>
    <w:rsid w:val="3B69436B"/>
    <w:rsid w:val="3B771C1F"/>
    <w:rsid w:val="3B8C22A8"/>
    <w:rsid w:val="3BC72345"/>
    <w:rsid w:val="3BEA1B59"/>
    <w:rsid w:val="3C1852A6"/>
    <w:rsid w:val="3C5E715D"/>
    <w:rsid w:val="3C77021F"/>
    <w:rsid w:val="3C9A01E5"/>
    <w:rsid w:val="3CD63197"/>
    <w:rsid w:val="3CF358EA"/>
    <w:rsid w:val="3D08531B"/>
    <w:rsid w:val="3D0F66A9"/>
    <w:rsid w:val="3D121761"/>
    <w:rsid w:val="3D337B49"/>
    <w:rsid w:val="3D38727D"/>
    <w:rsid w:val="3D4C5F1D"/>
    <w:rsid w:val="3D5E712B"/>
    <w:rsid w:val="3D671B69"/>
    <w:rsid w:val="3D6D72B7"/>
    <w:rsid w:val="3D8C3C51"/>
    <w:rsid w:val="3D9646D4"/>
    <w:rsid w:val="3DD671C7"/>
    <w:rsid w:val="3E157CEF"/>
    <w:rsid w:val="3E1D1ACD"/>
    <w:rsid w:val="3E3B796C"/>
    <w:rsid w:val="3E4051D3"/>
    <w:rsid w:val="3E592176"/>
    <w:rsid w:val="3E7316CB"/>
    <w:rsid w:val="3E815385"/>
    <w:rsid w:val="3EAD2EC9"/>
    <w:rsid w:val="3EBA2645"/>
    <w:rsid w:val="3EC7672F"/>
    <w:rsid w:val="3F21749A"/>
    <w:rsid w:val="3F834263"/>
    <w:rsid w:val="3F8C7AD1"/>
    <w:rsid w:val="3FB10C0A"/>
    <w:rsid w:val="3FB35BEC"/>
    <w:rsid w:val="3FC400FB"/>
    <w:rsid w:val="3FCE742E"/>
    <w:rsid w:val="3FD16214"/>
    <w:rsid w:val="3FE21909"/>
    <w:rsid w:val="3FFF47B3"/>
    <w:rsid w:val="405A0529"/>
    <w:rsid w:val="406805AA"/>
    <w:rsid w:val="406D1F87"/>
    <w:rsid w:val="4084115C"/>
    <w:rsid w:val="40A92971"/>
    <w:rsid w:val="40AE52C3"/>
    <w:rsid w:val="40CE4A65"/>
    <w:rsid w:val="40DE086C"/>
    <w:rsid w:val="410127AD"/>
    <w:rsid w:val="414C1C7A"/>
    <w:rsid w:val="41536635"/>
    <w:rsid w:val="41793B21"/>
    <w:rsid w:val="41795491"/>
    <w:rsid w:val="417A5147"/>
    <w:rsid w:val="4185798B"/>
    <w:rsid w:val="418B713B"/>
    <w:rsid w:val="41A33D4E"/>
    <w:rsid w:val="41B25AE9"/>
    <w:rsid w:val="41C2228F"/>
    <w:rsid w:val="41E11B01"/>
    <w:rsid w:val="41F20FE4"/>
    <w:rsid w:val="41F52B9C"/>
    <w:rsid w:val="420B38E3"/>
    <w:rsid w:val="4215030D"/>
    <w:rsid w:val="421E67E1"/>
    <w:rsid w:val="4220265B"/>
    <w:rsid w:val="4226071D"/>
    <w:rsid w:val="422E137F"/>
    <w:rsid w:val="422E75D1"/>
    <w:rsid w:val="424F45FB"/>
    <w:rsid w:val="427C0C6D"/>
    <w:rsid w:val="427C7B53"/>
    <w:rsid w:val="427F3B78"/>
    <w:rsid w:val="42890CAC"/>
    <w:rsid w:val="429107DA"/>
    <w:rsid w:val="429252A3"/>
    <w:rsid w:val="42B53CC1"/>
    <w:rsid w:val="42BA0E65"/>
    <w:rsid w:val="42C972FA"/>
    <w:rsid w:val="42ED123B"/>
    <w:rsid w:val="43014CE6"/>
    <w:rsid w:val="430A3B9B"/>
    <w:rsid w:val="43202EB0"/>
    <w:rsid w:val="432D4E22"/>
    <w:rsid w:val="433A4E46"/>
    <w:rsid w:val="433E60E0"/>
    <w:rsid w:val="433F02A4"/>
    <w:rsid w:val="437454B8"/>
    <w:rsid w:val="437C611B"/>
    <w:rsid w:val="4391543F"/>
    <w:rsid w:val="43960ACF"/>
    <w:rsid w:val="439E2535"/>
    <w:rsid w:val="43A01E09"/>
    <w:rsid w:val="43A10D69"/>
    <w:rsid w:val="43EA1EAA"/>
    <w:rsid w:val="43EB1D58"/>
    <w:rsid w:val="43F403A7"/>
    <w:rsid w:val="44064C80"/>
    <w:rsid w:val="442D7B2C"/>
    <w:rsid w:val="4437557C"/>
    <w:rsid w:val="444100C9"/>
    <w:rsid w:val="445D419E"/>
    <w:rsid w:val="44607359"/>
    <w:rsid w:val="44784B34"/>
    <w:rsid w:val="44B968EF"/>
    <w:rsid w:val="44CE18F2"/>
    <w:rsid w:val="44E644B0"/>
    <w:rsid w:val="44FD328B"/>
    <w:rsid w:val="451B17F6"/>
    <w:rsid w:val="454050A9"/>
    <w:rsid w:val="458E3310"/>
    <w:rsid w:val="45A176CC"/>
    <w:rsid w:val="45C84A44"/>
    <w:rsid w:val="45CE6C43"/>
    <w:rsid w:val="45EA1A61"/>
    <w:rsid w:val="45EB56D0"/>
    <w:rsid w:val="46130B22"/>
    <w:rsid w:val="4618414C"/>
    <w:rsid w:val="463F608F"/>
    <w:rsid w:val="465A4338"/>
    <w:rsid w:val="466D3EEF"/>
    <w:rsid w:val="467A34E7"/>
    <w:rsid w:val="468616FB"/>
    <w:rsid w:val="46985894"/>
    <w:rsid w:val="469F0A9E"/>
    <w:rsid w:val="46A674D6"/>
    <w:rsid w:val="46AC0AE5"/>
    <w:rsid w:val="46AE0CE1"/>
    <w:rsid w:val="46BE34E7"/>
    <w:rsid w:val="46C357BC"/>
    <w:rsid w:val="46E13DB1"/>
    <w:rsid w:val="46F07B2C"/>
    <w:rsid w:val="46F51CAF"/>
    <w:rsid w:val="471274C2"/>
    <w:rsid w:val="47356D0C"/>
    <w:rsid w:val="47525B10"/>
    <w:rsid w:val="475F022D"/>
    <w:rsid w:val="47751B21"/>
    <w:rsid w:val="479A5796"/>
    <w:rsid w:val="479E48B1"/>
    <w:rsid w:val="47B512B6"/>
    <w:rsid w:val="47C572D2"/>
    <w:rsid w:val="47CB141F"/>
    <w:rsid w:val="47D66741"/>
    <w:rsid w:val="481B6200"/>
    <w:rsid w:val="48343468"/>
    <w:rsid w:val="48552C62"/>
    <w:rsid w:val="48735ADA"/>
    <w:rsid w:val="48A203D1"/>
    <w:rsid w:val="48A44149"/>
    <w:rsid w:val="48A51C70"/>
    <w:rsid w:val="48C77A88"/>
    <w:rsid w:val="48CB1236"/>
    <w:rsid w:val="48D367DD"/>
    <w:rsid w:val="48D72771"/>
    <w:rsid w:val="490A38A3"/>
    <w:rsid w:val="491C63D6"/>
    <w:rsid w:val="492C0CCA"/>
    <w:rsid w:val="493014BE"/>
    <w:rsid w:val="49520049"/>
    <w:rsid w:val="4953791E"/>
    <w:rsid w:val="49553696"/>
    <w:rsid w:val="495F639D"/>
    <w:rsid w:val="496541A2"/>
    <w:rsid w:val="4968786D"/>
    <w:rsid w:val="496B110B"/>
    <w:rsid w:val="496E7B1A"/>
    <w:rsid w:val="497578A1"/>
    <w:rsid w:val="497E4B01"/>
    <w:rsid w:val="4989333F"/>
    <w:rsid w:val="498B355B"/>
    <w:rsid w:val="499D371C"/>
    <w:rsid w:val="49D46290"/>
    <w:rsid w:val="49E60792"/>
    <w:rsid w:val="4A0C170B"/>
    <w:rsid w:val="4A29004F"/>
    <w:rsid w:val="4A3C3D1F"/>
    <w:rsid w:val="4A3E5330"/>
    <w:rsid w:val="4A4B252B"/>
    <w:rsid w:val="4A600544"/>
    <w:rsid w:val="4A6C027D"/>
    <w:rsid w:val="4A9205ED"/>
    <w:rsid w:val="4A955EEB"/>
    <w:rsid w:val="4A981A8C"/>
    <w:rsid w:val="4A987CDE"/>
    <w:rsid w:val="4AA46683"/>
    <w:rsid w:val="4AE66C9B"/>
    <w:rsid w:val="4AEC6043"/>
    <w:rsid w:val="4AF018C8"/>
    <w:rsid w:val="4B09762A"/>
    <w:rsid w:val="4B1A46A7"/>
    <w:rsid w:val="4B213550"/>
    <w:rsid w:val="4B36751C"/>
    <w:rsid w:val="4B786F2D"/>
    <w:rsid w:val="4B86222C"/>
    <w:rsid w:val="4B9304A5"/>
    <w:rsid w:val="4BAB3A41"/>
    <w:rsid w:val="4BB41A6E"/>
    <w:rsid w:val="4BBE33D4"/>
    <w:rsid w:val="4BBF1C08"/>
    <w:rsid w:val="4BDA60D4"/>
    <w:rsid w:val="4BE74117"/>
    <w:rsid w:val="4BF70576"/>
    <w:rsid w:val="4C06511B"/>
    <w:rsid w:val="4C082C41"/>
    <w:rsid w:val="4C147838"/>
    <w:rsid w:val="4C207F8B"/>
    <w:rsid w:val="4C4243A5"/>
    <w:rsid w:val="4C575977"/>
    <w:rsid w:val="4C63431C"/>
    <w:rsid w:val="4C995F8F"/>
    <w:rsid w:val="4CA02E7A"/>
    <w:rsid w:val="4CC56D84"/>
    <w:rsid w:val="4CCC0782"/>
    <w:rsid w:val="4CDF5113"/>
    <w:rsid w:val="4CE44EAA"/>
    <w:rsid w:val="4CFE56F6"/>
    <w:rsid w:val="4CFE5C17"/>
    <w:rsid w:val="4D1473C4"/>
    <w:rsid w:val="4D245859"/>
    <w:rsid w:val="4D2C12E0"/>
    <w:rsid w:val="4D4521D3"/>
    <w:rsid w:val="4D663C6F"/>
    <w:rsid w:val="4D754306"/>
    <w:rsid w:val="4D9A5B1B"/>
    <w:rsid w:val="4D9D560B"/>
    <w:rsid w:val="4DCA15C8"/>
    <w:rsid w:val="4DDC4353"/>
    <w:rsid w:val="4DEB0042"/>
    <w:rsid w:val="4E060399"/>
    <w:rsid w:val="4E131ACC"/>
    <w:rsid w:val="4E2142A9"/>
    <w:rsid w:val="4E266826"/>
    <w:rsid w:val="4E2F0959"/>
    <w:rsid w:val="4E323FA5"/>
    <w:rsid w:val="4E65437B"/>
    <w:rsid w:val="4E726054"/>
    <w:rsid w:val="4EA03605"/>
    <w:rsid w:val="4EA84268"/>
    <w:rsid w:val="4EC217CD"/>
    <w:rsid w:val="4EC45545"/>
    <w:rsid w:val="4ED166E8"/>
    <w:rsid w:val="4EDE2BD4"/>
    <w:rsid w:val="4EF120B3"/>
    <w:rsid w:val="4F0E4A13"/>
    <w:rsid w:val="4F29722F"/>
    <w:rsid w:val="4F440434"/>
    <w:rsid w:val="4F5159D7"/>
    <w:rsid w:val="4FF0236A"/>
    <w:rsid w:val="50067498"/>
    <w:rsid w:val="50674E00"/>
    <w:rsid w:val="508456FD"/>
    <w:rsid w:val="5092008F"/>
    <w:rsid w:val="50B95974"/>
    <w:rsid w:val="50CA7E8C"/>
    <w:rsid w:val="50DE0552"/>
    <w:rsid w:val="50E27F05"/>
    <w:rsid w:val="50E33C7D"/>
    <w:rsid w:val="511B6F73"/>
    <w:rsid w:val="514A5AAA"/>
    <w:rsid w:val="515F3303"/>
    <w:rsid w:val="516C3C72"/>
    <w:rsid w:val="51786173"/>
    <w:rsid w:val="519531C9"/>
    <w:rsid w:val="51DA4891"/>
    <w:rsid w:val="51F10A82"/>
    <w:rsid w:val="51F85506"/>
    <w:rsid w:val="51FD2B1C"/>
    <w:rsid w:val="520008D8"/>
    <w:rsid w:val="52090DED"/>
    <w:rsid w:val="523636A7"/>
    <w:rsid w:val="523E2E19"/>
    <w:rsid w:val="525E35BB"/>
    <w:rsid w:val="528F1AE6"/>
    <w:rsid w:val="52937F3D"/>
    <w:rsid w:val="52990A97"/>
    <w:rsid w:val="52997E0A"/>
    <w:rsid w:val="529D03AD"/>
    <w:rsid w:val="52B0193D"/>
    <w:rsid w:val="52E00474"/>
    <w:rsid w:val="52E11882"/>
    <w:rsid w:val="52F77B3F"/>
    <w:rsid w:val="52F92CDD"/>
    <w:rsid w:val="5302663C"/>
    <w:rsid w:val="53071EA5"/>
    <w:rsid w:val="53177C0E"/>
    <w:rsid w:val="532D4A8B"/>
    <w:rsid w:val="532F31A9"/>
    <w:rsid w:val="5338205E"/>
    <w:rsid w:val="534D3630"/>
    <w:rsid w:val="53775035"/>
    <w:rsid w:val="53BD6A07"/>
    <w:rsid w:val="53BE4C3E"/>
    <w:rsid w:val="53DA3115"/>
    <w:rsid w:val="53E15B76"/>
    <w:rsid w:val="53F73CC7"/>
    <w:rsid w:val="53FC01C8"/>
    <w:rsid w:val="53FC6721"/>
    <w:rsid w:val="541879C0"/>
    <w:rsid w:val="541B5777"/>
    <w:rsid w:val="54372316"/>
    <w:rsid w:val="543C16DA"/>
    <w:rsid w:val="547F3CBD"/>
    <w:rsid w:val="548B08B3"/>
    <w:rsid w:val="5492579E"/>
    <w:rsid w:val="54AE00FE"/>
    <w:rsid w:val="54AF5068"/>
    <w:rsid w:val="54DF4EE8"/>
    <w:rsid w:val="54E702A4"/>
    <w:rsid w:val="553700F3"/>
    <w:rsid w:val="553D4864"/>
    <w:rsid w:val="556F2587"/>
    <w:rsid w:val="55797708"/>
    <w:rsid w:val="55802B56"/>
    <w:rsid w:val="55A95B7B"/>
    <w:rsid w:val="55AC7A04"/>
    <w:rsid w:val="55AD49B3"/>
    <w:rsid w:val="55DB20F6"/>
    <w:rsid w:val="55E22755"/>
    <w:rsid w:val="561E35DE"/>
    <w:rsid w:val="561F5757"/>
    <w:rsid w:val="564D4072"/>
    <w:rsid w:val="565847C5"/>
    <w:rsid w:val="56711C5C"/>
    <w:rsid w:val="56861332"/>
    <w:rsid w:val="56927CD7"/>
    <w:rsid w:val="56C02A96"/>
    <w:rsid w:val="56E02369"/>
    <w:rsid w:val="56E36785"/>
    <w:rsid w:val="56E6661F"/>
    <w:rsid w:val="56EB5639"/>
    <w:rsid w:val="571D166C"/>
    <w:rsid w:val="574803C1"/>
    <w:rsid w:val="57506C93"/>
    <w:rsid w:val="57636ED5"/>
    <w:rsid w:val="576D24F2"/>
    <w:rsid w:val="577C4928"/>
    <w:rsid w:val="578D049F"/>
    <w:rsid w:val="579D325F"/>
    <w:rsid w:val="579F744D"/>
    <w:rsid w:val="57AA67AA"/>
    <w:rsid w:val="57AB43E4"/>
    <w:rsid w:val="57AF48B9"/>
    <w:rsid w:val="57B20595"/>
    <w:rsid w:val="57BD5228"/>
    <w:rsid w:val="580C1D0B"/>
    <w:rsid w:val="581A396B"/>
    <w:rsid w:val="58242BB1"/>
    <w:rsid w:val="58276B45"/>
    <w:rsid w:val="58363FE9"/>
    <w:rsid w:val="58394402"/>
    <w:rsid w:val="584C64D4"/>
    <w:rsid w:val="587E7C60"/>
    <w:rsid w:val="588418A2"/>
    <w:rsid w:val="589E238C"/>
    <w:rsid w:val="58B83E74"/>
    <w:rsid w:val="58D565A1"/>
    <w:rsid w:val="58E41D48"/>
    <w:rsid w:val="58E81E30"/>
    <w:rsid w:val="59030A18"/>
    <w:rsid w:val="59032E40"/>
    <w:rsid w:val="591A2BA2"/>
    <w:rsid w:val="59246BE1"/>
    <w:rsid w:val="5932754F"/>
    <w:rsid w:val="59351500"/>
    <w:rsid w:val="59643A06"/>
    <w:rsid w:val="596A4F3B"/>
    <w:rsid w:val="59701E26"/>
    <w:rsid w:val="597247E0"/>
    <w:rsid w:val="59A0095D"/>
    <w:rsid w:val="59EF7E15"/>
    <w:rsid w:val="5A1621EF"/>
    <w:rsid w:val="5A2E5F69"/>
    <w:rsid w:val="5A3115B5"/>
    <w:rsid w:val="5A7D0C9E"/>
    <w:rsid w:val="5A96780E"/>
    <w:rsid w:val="5AA038A2"/>
    <w:rsid w:val="5AC056CA"/>
    <w:rsid w:val="5AD84127"/>
    <w:rsid w:val="5AF42331"/>
    <w:rsid w:val="5B1A65A9"/>
    <w:rsid w:val="5B4E6197"/>
    <w:rsid w:val="5B577BFC"/>
    <w:rsid w:val="5B667984"/>
    <w:rsid w:val="5B7B5478"/>
    <w:rsid w:val="5BD60666"/>
    <w:rsid w:val="5BE85E95"/>
    <w:rsid w:val="5BE96A18"/>
    <w:rsid w:val="5BF3746A"/>
    <w:rsid w:val="5C0608D6"/>
    <w:rsid w:val="5C0A7082"/>
    <w:rsid w:val="5C1B076F"/>
    <w:rsid w:val="5C451348"/>
    <w:rsid w:val="5C49419B"/>
    <w:rsid w:val="5C4961CE"/>
    <w:rsid w:val="5C6A3DF7"/>
    <w:rsid w:val="5C6C2D78"/>
    <w:rsid w:val="5C71213D"/>
    <w:rsid w:val="5C8D1C5F"/>
    <w:rsid w:val="5C961BA3"/>
    <w:rsid w:val="5C9E3C9E"/>
    <w:rsid w:val="5CFD02A0"/>
    <w:rsid w:val="5D015BB7"/>
    <w:rsid w:val="5D303DA6"/>
    <w:rsid w:val="5D467388"/>
    <w:rsid w:val="5D494E68"/>
    <w:rsid w:val="5D4D4958"/>
    <w:rsid w:val="5D6E4AE7"/>
    <w:rsid w:val="5D8B5480"/>
    <w:rsid w:val="5DA56542"/>
    <w:rsid w:val="5DAD5BE1"/>
    <w:rsid w:val="5DD40262"/>
    <w:rsid w:val="5DE86A07"/>
    <w:rsid w:val="5E0D0017"/>
    <w:rsid w:val="5E0F7E5F"/>
    <w:rsid w:val="5E2356B9"/>
    <w:rsid w:val="5E2D162C"/>
    <w:rsid w:val="5E364A4E"/>
    <w:rsid w:val="5E3E301E"/>
    <w:rsid w:val="5E435D5B"/>
    <w:rsid w:val="5E730E82"/>
    <w:rsid w:val="5E747409"/>
    <w:rsid w:val="5EA731C3"/>
    <w:rsid w:val="5EAA5DDA"/>
    <w:rsid w:val="5EE7291C"/>
    <w:rsid w:val="5F04649D"/>
    <w:rsid w:val="5F1514A5"/>
    <w:rsid w:val="5F33214B"/>
    <w:rsid w:val="5F373947"/>
    <w:rsid w:val="5F4A0FD8"/>
    <w:rsid w:val="5F5743AE"/>
    <w:rsid w:val="5F693F19"/>
    <w:rsid w:val="5F6C644B"/>
    <w:rsid w:val="5F763632"/>
    <w:rsid w:val="5F8108E9"/>
    <w:rsid w:val="5FA4474E"/>
    <w:rsid w:val="5FA82319"/>
    <w:rsid w:val="5FA97E40"/>
    <w:rsid w:val="5FB05672"/>
    <w:rsid w:val="5FB40CBE"/>
    <w:rsid w:val="5FB9506D"/>
    <w:rsid w:val="5FBC463D"/>
    <w:rsid w:val="5FDA1285"/>
    <w:rsid w:val="6008725C"/>
    <w:rsid w:val="602816AC"/>
    <w:rsid w:val="603E2C7E"/>
    <w:rsid w:val="60457B68"/>
    <w:rsid w:val="6057697E"/>
    <w:rsid w:val="606514DF"/>
    <w:rsid w:val="60E929DC"/>
    <w:rsid w:val="610E08A2"/>
    <w:rsid w:val="61204131"/>
    <w:rsid w:val="61212F9E"/>
    <w:rsid w:val="612B4288"/>
    <w:rsid w:val="61363955"/>
    <w:rsid w:val="615E35D8"/>
    <w:rsid w:val="6162299C"/>
    <w:rsid w:val="616A5248"/>
    <w:rsid w:val="616E578F"/>
    <w:rsid w:val="616E7E64"/>
    <w:rsid w:val="617A5F38"/>
    <w:rsid w:val="618047EF"/>
    <w:rsid w:val="61946FF9"/>
    <w:rsid w:val="61A47B89"/>
    <w:rsid w:val="61CF0031"/>
    <w:rsid w:val="61E17D65"/>
    <w:rsid w:val="61F74799"/>
    <w:rsid w:val="61F77588"/>
    <w:rsid w:val="620F48D2"/>
    <w:rsid w:val="62153DE5"/>
    <w:rsid w:val="622019C2"/>
    <w:rsid w:val="62257FFA"/>
    <w:rsid w:val="623E21B8"/>
    <w:rsid w:val="625304A7"/>
    <w:rsid w:val="625C58C6"/>
    <w:rsid w:val="62782028"/>
    <w:rsid w:val="627A3766"/>
    <w:rsid w:val="627C183B"/>
    <w:rsid w:val="629F6A6C"/>
    <w:rsid w:val="62E54C39"/>
    <w:rsid w:val="62EA49F7"/>
    <w:rsid w:val="63041F5D"/>
    <w:rsid w:val="635B58F5"/>
    <w:rsid w:val="63603041"/>
    <w:rsid w:val="6372336A"/>
    <w:rsid w:val="63807109"/>
    <w:rsid w:val="638270CA"/>
    <w:rsid w:val="63B84AF5"/>
    <w:rsid w:val="63C60FC0"/>
    <w:rsid w:val="63E636A7"/>
    <w:rsid w:val="64373621"/>
    <w:rsid w:val="64704173"/>
    <w:rsid w:val="647E4241"/>
    <w:rsid w:val="648669A1"/>
    <w:rsid w:val="64990483"/>
    <w:rsid w:val="64D63485"/>
    <w:rsid w:val="64DE058B"/>
    <w:rsid w:val="64FF6124"/>
    <w:rsid w:val="6585087D"/>
    <w:rsid w:val="6589396E"/>
    <w:rsid w:val="659F7B0D"/>
    <w:rsid w:val="65BB267B"/>
    <w:rsid w:val="65C14D81"/>
    <w:rsid w:val="65CA1661"/>
    <w:rsid w:val="65E272CE"/>
    <w:rsid w:val="65E97D44"/>
    <w:rsid w:val="65FC33BF"/>
    <w:rsid w:val="660D707D"/>
    <w:rsid w:val="660E6C4E"/>
    <w:rsid w:val="66245681"/>
    <w:rsid w:val="662D17CA"/>
    <w:rsid w:val="66384703"/>
    <w:rsid w:val="663D7E90"/>
    <w:rsid w:val="6659611C"/>
    <w:rsid w:val="668D72D5"/>
    <w:rsid w:val="66C33EDD"/>
    <w:rsid w:val="66E92F02"/>
    <w:rsid w:val="66ED1A86"/>
    <w:rsid w:val="670F2C7E"/>
    <w:rsid w:val="67923542"/>
    <w:rsid w:val="67A552B7"/>
    <w:rsid w:val="67A55390"/>
    <w:rsid w:val="67BD2A93"/>
    <w:rsid w:val="67C6316E"/>
    <w:rsid w:val="67EB7247"/>
    <w:rsid w:val="67F105D6"/>
    <w:rsid w:val="680622D3"/>
    <w:rsid w:val="6813696A"/>
    <w:rsid w:val="681744E0"/>
    <w:rsid w:val="683426D7"/>
    <w:rsid w:val="68594AF9"/>
    <w:rsid w:val="68774F7F"/>
    <w:rsid w:val="6881195A"/>
    <w:rsid w:val="688D6E3B"/>
    <w:rsid w:val="68A613C0"/>
    <w:rsid w:val="68B7537B"/>
    <w:rsid w:val="68C1444C"/>
    <w:rsid w:val="68EB3038"/>
    <w:rsid w:val="68F12251"/>
    <w:rsid w:val="68F95994"/>
    <w:rsid w:val="69110F2F"/>
    <w:rsid w:val="6918155C"/>
    <w:rsid w:val="69262337"/>
    <w:rsid w:val="6962178B"/>
    <w:rsid w:val="6971381F"/>
    <w:rsid w:val="69831701"/>
    <w:rsid w:val="6994390F"/>
    <w:rsid w:val="69B01F0C"/>
    <w:rsid w:val="69B44F51"/>
    <w:rsid w:val="69CB63AC"/>
    <w:rsid w:val="69DA7573"/>
    <w:rsid w:val="69DB32EB"/>
    <w:rsid w:val="69E2467A"/>
    <w:rsid w:val="6A0A597F"/>
    <w:rsid w:val="6A5C442C"/>
    <w:rsid w:val="6A633A0D"/>
    <w:rsid w:val="6A7D62E1"/>
    <w:rsid w:val="6A8D4E45"/>
    <w:rsid w:val="6AA32DBD"/>
    <w:rsid w:val="6AAB53B4"/>
    <w:rsid w:val="6AD379C8"/>
    <w:rsid w:val="6AD71D05"/>
    <w:rsid w:val="6ADB3023"/>
    <w:rsid w:val="6AF07B7F"/>
    <w:rsid w:val="6AF61E2F"/>
    <w:rsid w:val="6B111949"/>
    <w:rsid w:val="6B1B6095"/>
    <w:rsid w:val="6B1E75AA"/>
    <w:rsid w:val="6B4A0729"/>
    <w:rsid w:val="6B555ED8"/>
    <w:rsid w:val="6BCB60D2"/>
    <w:rsid w:val="6BD34359"/>
    <w:rsid w:val="6BFA1229"/>
    <w:rsid w:val="6C1E72DF"/>
    <w:rsid w:val="6C2216A6"/>
    <w:rsid w:val="6C245031"/>
    <w:rsid w:val="6C2C42D2"/>
    <w:rsid w:val="6C337F2A"/>
    <w:rsid w:val="6C4923CE"/>
    <w:rsid w:val="6C71397E"/>
    <w:rsid w:val="6C7364AA"/>
    <w:rsid w:val="6C7D68DC"/>
    <w:rsid w:val="6C841A18"/>
    <w:rsid w:val="6CA43B24"/>
    <w:rsid w:val="6CA51767"/>
    <w:rsid w:val="6CD504C6"/>
    <w:rsid w:val="6CE54BAD"/>
    <w:rsid w:val="6CFE17CB"/>
    <w:rsid w:val="6D156B14"/>
    <w:rsid w:val="6D205BE5"/>
    <w:rsid w:val="6D7E5723"/>
    <w:rsid w:val="6DFC768A"/>
    <w:rsid w:val="6E1312A6"/>
    <w:rsid w:val="6E466A83"/>
    <w:rsid w:val="6E573473"/>
    <w:rsid w:val="6E731D44"/>
    <w:rsid w:val="6E851491"/>
    <w:rsid w:val="6EAE5472"/>
    <w:rsid w:val="6EED6047"/>
    <w:rsid w:val="6F0F5516"/>
    <w:rsid w:val="6F1654F2"/>
    <w:rsid w:val="6F255735"/>
    <w:rsid w:val="6F282B2F"/>
    <w:rsid w:val="6F651FD5"/>
    <w:rsid w:val="6F9603E0"/>
    <w:rsid w:val="6F9A6059"/>
    <w:rsid w:val="6FA348AB"/>
    <w:rsid w:val="6FA81EC2"/>
    <w:rsid w:val="6FCC5F73"/>
    <w:rsid w:val="6FEC122C"/>
    <w:rsid w:val="70057314"/>
    <w:rsid w:val="70292A3B"/>
    <w:rsid w:val="703379DD"/>
    <w:rsid w:val="70666005"/>
    <w:rsid w:val="706978A3"/>
    <w:rsid w:val="70A00DEB"/>
    <w:rsid w:val="70F86D26"/>
    <w:rsid w:val="70FE623D"/>
    <w:rsid w:val="711C4915"/>
    <w:rsid w:val="71357785"/>
    <w:rsid w:val="716F783D"/>
    <w:rsid w:val="719B1CDE"/>
    <w:rsid w:val="719C7804"/>
    <w:rsid w:val="71A072F4"/>
    <w:rsid w:val="71BB2380"/>
    <w:rsid w:val="71C108C5"/>
    <w:rsid w:val="71CA0C1B"/>
    <w:rsid w:val="71D04977"/>
    <w:rsid w:val="71DC1DC8"/>
    <w:rsid w:val="71E223BA"/>
    <w:rsid w:val="71ED62B2"/>
    <w:rsid w:val="71FB3C3C"/>
    <w:rsid w:val="71FE401B"/>
    <w:rsid w:val="72061FA7"/>
    <w:rsid w:val="727918F3"/>
    <w:rsid w:val="72C50044"/>
    <w:rsid w:val="72CB65F3"/>
    <w:rsid w:val="72CE3026"/>
    <w:rsid w:val="72D34B9A"/>
    <w:rsid w:val="73125FD0"/>
    <w:rsid w:val="733E6DC5"/>
    <w:rsid w:val="734939BC"/>
    <w:rsid w:val="7355410F"/>
    <w:rsid w:val="735A7977"/>
    <w:rsid w:val="736827E7"/>
    <w:rsid w:val="737E1108"/>
    <w:rsid w:val="738B5D82"/>
    <w:rsid w:val="738D3673"/>
    <w:rsid w:val="73927111"/>
    <w:rsid w:val="73A6496A"/>
    <w:rsid w:val="73AE37EF"/>
    <w:rsid w:val="73BC418E"/>
    <w:rsid w:val="73BD773A"/>
    <w:rsid w:val="73BF4107"/>
    <w:rsid w:val="73C93385"/>
    <w:rsid w:val="73F95484"/>
    <w:rsid w:val="740578E3"/>
    <w:rsid w:val="74370D4B"/>
    <w:rsid w:val="743B45DD"/>
    <w:rsid w:val="7456694C"/>
    <w:rsid w:val="74604B19"/>
    <w:rsid w:val="74624249"/>
    <w:rsid w:val="7493166B"/>
    <w:rsid w:val="74980757"/>
    <w:rsid w:val="74A82F40"/>
    <w:rsid w:val="74B530B7"/>
    <w:rsid w:val="74FF1897"/>
    <w:rsid w:val="752B3379"/>
    <w:rsid w:val="752D5343"/>
    <w:rsid w:val="75530B22"/>
    <w:rsid w:val="756248E8"/>
    <w:rsid w:val="757D16FB"/>
    <w:rsid w:val="758B689E"/>
    <w:rsid w:val="75BD0103"/>
    <w:rsid w:val="75BF3AC1"/>
    <w:rsid w:val="75C86E1A"/>
    <w:rsid w:val="76045978"/>
    <w:rsid w:val="760F67F7"/>
    <w:rsid w:val="763F1C89"/>
    <w:rsid w:val="7641097A"/>
    <w:rsid w:val="764853C3"/>
    <w:rsid w:val="765D7645"/>
    <w:rsid w:val="766034F6"/>
    <w:rsid w:val="768371E5"/>
    <w:rsid w:val="768E1E11"/>
    <w:rsid w:val="76937428"/>
    <w:rsid w:val="7695551F"/>
    <w:rsid w:val="76BD6253"/>
    <w:rsid w:val="76D13197"/>
    <w:rsid w:val="76EA2DC0"/>
    <w:rsid w:val="77197D0F"/>
    <w:rsid w:val="77324E93"/>
    <w:rsid w:val="774527E5"/>
    <w:rsid w:val="7770799C"/>
    <w:rsid w:val="77BA4E88"/>
    <w:rsid w:val="77BD7F0F"/>
    <w:rsid w:val="77CE0800"/>
    <w:rsid w:val="77D221D2"/>
    <w:rsid w:val="77F63D5E"/>
    <w:rsid w:val="77FC724F"/>
    <w:rsid w:val="78032380"/>
    <w:rsid w:val="7812649D"/>
    <w:rsid w:val="78494817"/>
    <w:rsid w:val="785E1CB7"/>
    <w:rsid w:val="786A52CE"/>
    <w:rsid w:val="786D1EFA"/>
    <w:rsid w:val="78745037"/>
    <w:rsid w:val="787532C1"/>
    <w:rsid w:val="7899274E"/>
    <w:rsid w:val="78995758"/>
    <w:rsid w:val="78D6184E"/>
    <w:rsid w:val="78F13B18"/>
    <w:rsid w:val="79066F17"/>
    <w:rsid w:val="79501191"/>
    <w:rsid w:val="79997202"/>
    <w:rsid w:val="799C2A97"/>
    <w:rsid w:val="79A70AC0"/>
    <w:rsid w:val="79C67B14"/>
    <w:rsid w:val="79CD0EA3"/>
    <w:rsid w:val="79F503F9"/>
    <w:rsid w:val="7A1940E8"/>
    <w:rsid w:val="7A1F329D"/>
    <w:rsid w:val="7A210B1F"/>
    <w:rsid w:val="7A431165"/>
    <w:rsid w:val="7A4773F3"/>
    <w:rsid w:val="7A560E98"/>
    <w:rsid w:val="7A8F7F06"/>
    <w:rsid w:val="7A9E7181"/>
    <w:rsid w:val="7ADE68DB"/>
    <w:rsid w:val="7AE54F58"/>
    <w:rsid w:val="7B000E04"/>
    <w:rsid w:val="7B1F572E"/>
    <w:rsid w:val="7B544B51"/>
    <w:rsid w:val="7B6B4E8E"/>
    <w:rsid w:val="7B7900AD"/>
    <w:rsid w:val="7BB120FE"/>
    <w:rsid w:val="7BC868B0"/>
    <w:rsid w:val="7BD75A22"/>
    <w:rsid w:val="7BE06205"/>
    <w:rsid w:val="7BF14242"/>
    <w:rsid w:val="7BFA1CF7"/>
    <w:rsid w:val="7C302A9C"/>
    <w:rsid w:val="7C3E2849"/>
    <w:rsid w:val="7C4B4301"/>
    <w:rsid w:val="7C623145"/>
    <w:rsid w:val="7C690A14"/>
    <w:rsid w:val="7C8E7766"/>
    <w:rsid w:val="7CA35EEB"/>
    <w:rsid w:val="7CB26E8E"/>
    <w:rsid w:val="7CE86B63"/>
    <w:rsid w:val="7D002024"/>
    <w:rsid w:val="7D0D36D5"/>
    <w:rsid w:val="7D0E1FE7"/>
    <w:rsid w:val="7D2C0CE2"/>
    <w:rsid w:val="7D382AD7"/>
    <w:rsid w:val="7D6E02A7"/>
    <w:rsid w:val="7D6F2271"/>
    <w:rsid w:val="7D777331"/>
    <w:rsid w:val="7D8436EA"/>
    <w:rsid w:val="7D890C83"/>
    <w:rsid w:val="7D917A20"/>
    <w:rsid w:val="7D944F65"/>
    <w:rsid w:val="7DBB1012"/>
    <w:rsid w:val="7DE07FB2"/>
    <w:rsid w:val="7DE40569"/>
    <w:rsid w:val="7E071957"/>
    <w:rsid w:val="7E175980"/>
    <w:rsid w:val="7E6E54AC"/>
    <w:rsid w:val="7E7B36FD"/>
    <w:rsid w:val="7E927FC5"/>
    <w:rsid w:val="7E96578C"/>
    <w:rsid w:val="7E9A50CB"/>
    <w:rsid w:val="7EA36676"/>
    <w:rsid w:val="7EAA7A04"/>
    <w:rsid w:val="7EAE0FEB"/>
    <w:rsid w:val="7EBA4486"/>
    <w:rsid w:val="7F0A04A3"/>
    <w:rsid w:val="7F170008"/>
    <w:rsid w:val="7F272E03"/>
    <w:rsid w:val="7F2F688E"/>
    <w:rsid w:val="7F533BF8"/>
    <w:rsid w:val="7F695428"/>
    <w:rsid w:val="7F6F0306"/>
    <w:rsid w:val="7F8952AA"/>
    <w:rsid w:val="7F934B69"/>
    <w:rsid w:val="7FB623D9"/>
    <w:rsid w:val="7FBA3C77"/>
    <w:rsid w:val="7FCB1D09"/>
    <w:rsid w:val="7FE707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39"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3">
    <w:name w:val="heading 1"/>
    <w:basedOn w:val="1"/>
    <w:next w:val="1"/>
    <w:link w:val="47"/>
    <w:autoRedefine/>
    <w:qFormat/>
    <w:uiPriority w:val="0"/>
    <w:pPr>
      <w:keepNext/>
      <w:keepLines/>
      <w:snapToGrid w:val="0"/>
      <w:spacing w:line="360" w:lineRule="auto"/>
      <w:jc w:val="center"/>
      <w:outlineLvl w:val="0"/>
    </w:pPr>
    <w:rPr>
      <w:rFonts w:ascii="宋体" w:hAnsi="宋体" w:cs="宋体"/>
      <w:b/>
      <w:color w:val="FF0000"/>
      <w:kern w:val="44"/>
      <w:sz w:val="28"/>
      <w:szCs w:val="28"/>
    </w:rPr>
  </w:style>
  <w:style w:type="paragraph" w:styleId="4">
    <w:name w:val="heading 2"/>
    <w:basedOn w:val="1"/>
    <w:next w:val="1"/>
    <w:link w:val="46"/>
    <w:autoRedefine/>
    <w:qFormat/>
    <w:uiPriority w:val="0"/>
    <w:pPr>
      <w:keepNext/>
      <w:keepLines/>
      <w:numPr>
        <w:ilvl w:val="1"/>
        <w:numId w:val="1"/>
      </w:numPr>
      <w:spacing w:before="200" w:after="200" w:line="360" w:lineRule="auto"/>
      <w:jc w:val="left"/>
      <w:outlineLvl w:val="1"/>
    </w:pPr>
    <w:rPr>
      <w:rFonts w:ascii="黑体" w:hAnsi="黑体" w:eastAsia="黑体"/>
      <w:bCs/>
      <w:sz w:val="28"/>
      <w:szCs w:val="32"/>
    </w:rPr>
  </w:style>
  <w:style w:type="paragraph" w:styleId="2">
    <w:name w:val="heading 3"/>
    <w:basedOn w:val="1"/>
    <w:next w:val="1"/>
    <w:link w:val="39"/>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numPr>
        <w:ilvl w:val="3"/>
        <w:numId w:val="2"/>
      </w:numPr>
      <w:spacing w:before="280" w:after="290" w:line="376" w:lineRule="auto"/>
      <w:outlineLvl w:val="3"/>
    </w:pPr>
    <w:rPr>
      <w:rFonts w:ascii="Calibri Light" w:hAnsi="Calibri Light"/>
      <w:b/>
      <w:bCs/>
      <w:sz w:val="28"/>
      <w:szCs w:val="28"/>
    </w:rPr>
  </w:style>
  <w:style w:type="character" w:default="1" w:styleId="29">
    <w:name w:val="Default Paragraph Font"/>
    <w:autoRedefine/>
    <w:semiHidden/>
    <w:unhideWhenUsed/>
    <w:qFormat/>
    <w:uiPriority w:val="1"/>
  </w:style>
  <w:style w:type="table" w:default="1" w:styleId="27">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firstLineChars="200"/>
    </w:pPr>
  </w:style>
  <w:style w:type="paragraph" w:styleId="7">
    <w:name w:val="caption"/>
    <w:basedOn w:val="1"/>
    <w:next w:val="1"/>
    <w:link w:val="38"/>
    <w:autoRedefine/>
    <w:qFormat/>
    <w:uiPriority w:val="0"/>
    <w:pPr>
      <w:keepNext/>
      <w:spacing w:line="500" w:lineRule="exact"/>
      <w:jc w:val="center"/>
    </w:pPr>
    <w:rPr>
      <w:rFonts w:ascii="黑体" w:hAnsi="黑体" w:eastAsia="黑体"/>
      <w:color w:val="FF0000"/>
      <w:sz w:val="21"/>
      <w:szCs w:val="21"/>
    </w:rPr>
  </w:style>
  <w:style w:type="paragraph" w:styleId="8">
    <w:name w:val="Document Map"/>
    <w:basedOn w:val="1"/>
    <w:link w:val="40"/>
    <w:autoRedefine/>
    <w:qFormat/>
    <w:uiPriority w:val="0"/>
    <w:rPr>
      <w:rFonts w:ascii="宋体" w:hAnsi="宋体" w:cs="宋体"/>
      <w:sz w:val="18"/>
      <w:szCs w:val="18"/>
    </w:rPr>
  </w:style>
  <w:style w:type="paragraph" w:styleId="9">
    <w:name w:val="annotation text"/>
    <w:basedOn w:val="1"/>
    <w:link w:val="41"/>
    <w:autoRedefine/>
    <w:qFormat/>
    <w:uiPriority w:val="99"/>
    <w:pPr>
      <w:jc w:val="left"/>
    </w:pPr>
  </w:style>
  <w:style w:type="paragraph" w:styleId="10">
    <w:name w:val="Body Text"/>
    <w:basedOn w:val="1"/>
    <w:link w:val="42"/>
    <w:autoRedefine/>
    <w:qFormat/>
    <w:uiPriority w:val="99"/>
    <w:pPr>
      <w:widowControl/>
      <w:snapToGrid w:val="0"/>
      <w:spacing w:line="500" w:lineRule="exact"/>
      <w:ind w:firstLine="482" w:firstLineChars="200"/>
    </w:pPr>
    <w:rPr>
      <w:rFonts w:ascii="Times New Roman" w:hAnsi="Times New Roman" w:cs="Times New Roman"/>
      <w:color w:val="000000" w:themeColor="text1"/>
      <w:kern w:val="0"/>
      <w14:textFill>
        <w14:solidFill>
          <w14:schemeClr w14:val="tx1"/>
        </w14:solidFill>
      </w14:textFill>
    </w:rPr>
  </w:style>
  <w:style w:type="paragraph" w:styleId="11">
    <w:name w:val="Body Text Indent"/>
    <w:basedOn w:val="1"/>
    <w:autoRedefine/>
    <w:qFormat/>
    <w:uiPriority w:val="0"/>
    <w:pPr>
      <w:spacing w:line="440" w:lineRule="exact"/>
      <w:ind w:firstLine="510"/>
    </w:pPr>
    <w:rPr>
      <w:rFonts w:ascii="宋体"/>
      <w:spacing w:val="12"/>
      <w:kern w:val="0"/>
    </w:rPr>
  </w:style>
  <w:style w:type="paragraph" w:styleId="12">
    <w:name w:val="List 2"/>
    <w:basedOn w:val="1"/>
    <w:autoRedefine/>
    <w:unhideWhenUsed/>
    <w:qFormat/>
    <w:uiPriority w:val="0"/>
    <w:pPr>
      <w:spacing w:line="360" w:lineRule="auto"/>
      <w:ind w:left="100" w:leftChars="200" w:hanging="200" w:hangingChars="200"/>
      <w:contextualSpacing/>
    </w:pPr>
    <w:rPr>
      <w:rFonts w:ascii="Calibri" w:hAnsi="Calibri" w:eastAsia="仿宋" w:cs="Times New Roman"/>
      <w:sz w:val="28"/>
    </w:rPr>
  </w:style>
  <w:style w:type="paragraph" w:styleId="13">
    <w:name w:val="Block Text"/>
    <w:basedOn w:val="1"/>
    <w:next w:val="14"/>
    <w:autoRedefine/>
    <w:qFormat/>
    <w:uiPriority w:val="99"/>
    <w:pPr>
      <w:spacing w:line="480" w:lineRule="exact"/>
      <w:ind w:left="-125" w:right="-56" w:firstLine="570"/>
    </w:pPr>
    <w:rPr>
      <w:sz w:val="28"/>
    </w:rPr>
  </w:style>
  <w:style w:type="paragraph" w:styleId="14">
    <w:name w:val="toc 9"/>
    <w:basedOn w:val="1"/>
    <w:next w:val="1"/>
    <w:autoRedefine/>
    <w:qFormat/>
    <w:uiPriority w:val="39"/>
    <w:pPr>
      <w:ind w:left="1680"/>
      <w:jc w:val="left"/>
    </w:pPr>
    <w:rPr>
      <w:sz w:val="18"/>
    </w:rPr>
  </w:style>
  <w:style w:type="paragraph" w:styleId="15">
    <w:name w:val="Date"/>
    <w:basedOn w:val="1"/>
    <w:next w:val="1"/>
    <w:autoRedefine/>
    <w:qFormat/>
    <w:uiPriority w:val="0"/>
    <w:rPr>
      <w:rFonts w:ascii="宋体"/>
      <w:kern w:val="0"/>
      <w:sz w:val="20"/>
      <w:szCs w:val="20"/>
    </w:rPr>
  </w:style>
  <w:style w:type="paragraph" w:styleId="16">
    <w:name w:val="Body Text Indent 2"/>
    <w:basedOn w:val="1"/>
    <w:link w:val="49"/>
    <w:autoRedefine/>
    <w:qFormat/>
    <w:uiPriority w:val="0"/>
    <w:pPr>
      <w:spacing w:after="120" w:line="480" w:lineRule="auto"/>
      <w:ind w:left="420" w:leftChars="200"/>
    </w:pPr>
  </w:style>
  <w:style w:type="paragraph" w:styleId="17">
    <w:name w:val="footer"/>
    <w:basedOn w:val="1"/>
    <w:link w:val="43"/>
    <w:autoRedefine/>
    <w:qFormat/>
    <w:uiPriority w:val="0"/>
    <w:pPr>
      <w:tabs>
        <w:tab w:val="center" w:pos="4153"/>
        <w:tab w:val="right" w:pos="8306"/>
      </w:tabs>
      <w:snapToGrid w:val="0"/>
      <w:jc w:val="left"/>
    </w:pPr>
    <w:rPr>
      <w:sz w:val="18"/>
      <w:szCs w:val="18"/>
    </w:rPr>
  </w:style>
  <w:style w:type="paragraph" w:styleId="18">
    <w:name w:val="header"/>
    <w:basedOn w:val="1"/>
    <w:link w:val="44"/>
    <w:autoRedefine/>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19">
    <w:name w:val="toc 1"/>
    <w:basedOn w:val="1"/>
    <w:next w:val="1"/>
    <w:autoRedefine/>
    <w:qFormat/>
    <w:uiPriority w:val="0"/>
  </w:style>
  <w:style w:type="paragraph" w:styleId="20">
    <w:name w:val="index heading"/>
    <w:basedOn w:val="1"/>
    <w:next w:val="21"/>
    <w:autoRedefine/>
    <w:qFormat/>
    <w:uiPriority w:val="0"/>
    <w:rPr>
      <w:rFonts w:hint="eastAsia" w:ascii="Cambria" w:hAnsi="Cambria"/>
      <w:b/>
    </w:rPr>
  </w:style>
  <w:style w:type="paragraph" w:styleId="21">
    <w:name w:val="index 1"/>
    <w:basedOn w:val="1"/>
    <w:next w:val="1"/>
    <w:autoRedefine/>
    <w:qFormat/>
    <w:uiPriority w:val="0"/>
  </w:style>
  <w:style w:type="paragraph" w:styleId="22">
    <w:name w:val="List"/>
    <w:basedOn w:val="1"/>
    <w:next w:val="1"/>
    <w:autoRedefine/>
    <w:qFormat/>
    <w:uiPriority w:val="0"/>
    <w:pPr>
      <w:adjustRightInd w:val="0"/>
      <w:snapToGrid w:val="0"/>
      <w:ind w:left="198" w:hanging="198"/>
      <w:contextualSpacing/>
    </w:pPr>
    <w:rPr>
      <w:sz w:val="21"/>
    </w:rPr>
  </w:style>
  <w:style w:type="paragraph" w:styleId="23">
    <w:name w:val="Body Text Indent 3"/>
    <w:basedOn w:val="1"/>
    <w:link w:val="45"/>
    <w:autoRedefine/>
    <w:qFormat/>
    <w:uiPriority w:val="0"/>
    <w:pPr>
      <w:spacing w:line="520" w:lineRule="exact"/>
      <w:ind w:firstLine="640" w:firstLineChars="200"/>
    </w:pPr>
    <w:rPr>
      <w:rFonts w:ascii="宋体" w:hAnsi="宋体" w:eastAsia="楷体_GB2312" w:cs="宋体"/>
      <w:sz w:val="32"/>
      <w:szCs w:val="20"/>
    </w:rPr>
  </w:style>
  <w:style w:type="paragraph" w:styleId="24">
    <w:name w:val="toc 2"/>
    <w:basedOn w:val="1"/>
    <w:next w:val="1"/>
    <w:autoRedefine/>
    <w:unhideWhenUsed/>
    <w:qFormat/>
    <w:uiPriority w:val="39"/>
    <w:pPr>
      <w:spacing w:before="120"/>
      <w:ind w:left="210"/>
      <w:jc w:val="left"/>
    </w:pPr>
    <w:rPr>
      <w:rFonts w:ascii="Calibri" w:hAnsi="Calibri" w:cs="Calibri"/>
      <w:i/>
      <w:iCs/>
      <w:sz w:val="20"/>
    </w:rPr>
  </w:style>
  <w:style w:type="paragraph" w:styleId="25">
    <w:name w:val="Normal (Web)"/>
    <w:basedOn w:val="1"/>
    <w:link w:val="51"/>
    <w:autoRedefine/>
    <w:qFormat/>
    <w:uiPriority w:val="99"/>
    <w:pPr>
      <w:widowControl/>
      <w:spacing w:before="100" w:beforeAutospacing="1" w:after="100" w:afterAutospacing="1"/>
      <w:jc w:val="left"/>
    </w:pPr>
    <w:rPr>
      <w:rFonts w:ascii="宋体" w:hAnsi="宋体"/>
      <w:kern w:val="0"/>
    </w:rPr>
  </w:style>
  <w:style w:type="paragraph" w:styleId="26">
    <w:name w:val="annotation subject"/>
    <w:basedOn w:val="9"/>
    <w:next w:val="1"/>
    <w:link w:val="48"/>
    <w:autoRedefine/>
    <w:qFormat/>
    <w:uiPriority w:val="0"/>
    <w:rPr>
      <w:b/>
      <w:bCs/>
    </w:rPr>
  </w:style>
  <w:style w:type="table" w:styleId="28">
    <w:name w:val="Table Grid"/>
    <w:basedOn w:val="27"/>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basedOn w:val="29"/>
    <w:autoRedefine/>
    <w:qFormat/>
    <w:uiPriority w:val="0"/>
    <w:rPr>
      <w:b/>
    </w:rPr>
  </w:style>
  <w:style w:type="character" w:styleId="31">
    <w:name w:val="page number"/>
    <w:autoRedefine/>
    <w:qFormat/>
    <w:uiPriority w:val="0"/>
  </w:style>
  <w:style w:type="character" w:styleId="32">
    <w:name w:val="FollowedHyperlink"/>
    <w:autoRedefine/>
    <w:qFormat/>
    <w:uiPriority w:val="0"/>
    <w:rPr>
      <w:color w:val="333333"/>
      <w:u w:val="none"/>
    </w:rPr>
  </w:style>
  <w:style w:type="character" w:styleId="33">
    <w:name w:val="Hyperlink"/>
    <w:autoRedefine/>
    <w:qFormat/>
    <w:uiPriority w:val="0"/>
    <w:rPr>
      <w:color w:val="20528F"/>
      <w:u w:val="none"/>
    </w:rPr>
  </w:style>
  <w:style w:type="character" w:styleId="34">
    <w:name w:val="annotation reference"/>
    <w:basedOn w:val="29"/>
    <w:autoRedefine/>
    <w:qFormat/>
    <w:uiPriority w:val="0"/>
    <w:rPr>
      <w:sz w:val="21"/>
      <w:szCs w:val="21"/>
    </w:rPr>
  </w:style>
  <w:style w:type="paragraph" w:customStyle="1" w:styleId="35">
    <w:name w:val="表内文字"/>
    <w:basedOn w:val="1"/>
    <w:link w:val="37"/>
    <w:autoRedefine/>
    <w:qFormat/>
    <w:uiPriority w:val="0"/>
    <w:pPr>
      <w:widowControl/>
      <w:adjustRightInd w:val="0"/>
      <w:snapToGrid w:val="0"/>
      <w:spacing w:line="240" w:lineRule="atLeast"/>
      <w:jc w:val="center"/>
    </w:pPr>
    <w:rPr>
      <w:rFonts w:ascii="Times New Roman" w:hAnsi="Times New Roman" w:cs="Times New Roman"/>
      <w:sz w:val="21"/>
      <w:szCs w:val="21"/>
    </w:rPr>
  </w:style>
  <w:style w:type="paragraph" w:styleId="36">
    <w:name w:val="List Paragraph"/>
    <w:basedOn w:val="1"/>
    <w:link w:val="73"/>
    <w:autoRedefine/>
    <w:qFormat/>
    <w:uiPriority w:val="99"/>
    <w:pPr>
      <w:ind w:firstLine="420" w:firstLineChars="200"/>
    </w:pPr>
  </w:style>
  <w:style w:type="character" w:customStyle="1" w:styleId="37">
    <w:name w:val="表字-书 Char"/>
    <w:link w:val="35"/>
    <w:autoRedefine/>
    <w:qFormat/>
    <w:uiPriority w:val="0"/>
    <w:rPr>
      <w:rFonts w:ascii="Times New Roman" w:hAnsi="Times New Roman" w:eastAsia="宋体" w:cs="Times New Roman"/>
      <w:kern w:val="2"/>
      <w:sz w:val="21"/>
      <w:szCs w:val="21"/>
    </w:rPr>
  </w:style>
  <w:style w:type="character" w:customStyle="1" w:styleId="38">
    <w:name w:val="题注 字符"/>
    <w:link w:val="7"/>
    <w:autoRedefine/>
    <w:qFormat/>
    <w:uiPriority w:val="0"/>
    <w:rPr>
      <w:rFonts w:ascii="黑体" w:hAnsi="黑体" w:eastAsia="黑体"/>
      <w:color w:val="FF0000"/>
      <w:kern w:val="2"/>
      <w:sz w:val="21"/>
      <w:szCs w:val="21"/>
    </w:rPr>
  </w:style>
  <w:style w:type="character" w:customStyle="1" w:styleId="39">
    <w:name w:val="标题 3 字符"/>
    <w:basedOn w:val="29"/>
    <w:link w:val="2"/>
    <w:autoRedefine/>
    <w:qFormat/>
    <w:uiPriority w:val="9"/>
    <w:rPr>
      <w:b/>
      <w:bCs/>
      <w:kern w:val="2"/>
      <w:sz w:val="32"/>
      <w:szCs w:val="32"/>
    </w:rPr>
  </w:style>
  <w:style w:type="character" w:customStyle="1" w:styleId="40">
    <w:name w:val="文档结构图 字符"/>
    <w:basedOn w:val="29"/>
    <w:link w:val="8"/>
    <w:autoRedefine/>
    <w:qFormat/>
    <w:uiPriority w:val="0"/>
    <w:rPr>
      <w:rFonts w:ascii="宋体" w:hAnsi="宋体" w:cs="宋体"/>
      <w:kern w:val="2"/>
      <w:sz w:val="18"/>
      <w:szCs w:val="18"/>
    </w:rPr>
  </w:style>
  <w:style w:type="character" w:customStyle="1" w:styleId="41">
    <w:name w:val="批注文字 字符"/>
    <w:link w:val="9"/>
    <w:autoRedefine/>
    <w:qFormat/>
    <w:uiPriority w:val="99"/>
    <w:rPr>
      <w:kern w:val="2"/>
      <w:sz w:val="24"/>
      <w:szCs w:val="24"/>
    </w:rPr>
  </w:style>
  <w:style w:type="character" w:customStyle="1" w:styleId="42">
    <w:name w:val="正文文本 字符"/>
    <w:link w:val="10"/>
    <w:autoRedefine/>
    <w:qFormat/>
    <w:uiPriority w:val="99"/>
    <w:rPr>
      <w:rFonts w:ascii="Times New Roman" w:hAnsi="Times New Roman" w:eastAsia="宋体" w:cs="Times New Roman"/>
      <w:color w:val="000000" w:themeColor="text1"/>
      <w:sz w:val="24"/>
      <w:szCs w:val="24"/>
      <w14:textFill>
        <w14:solidFill>
          <w14:schemeClr w14:val="tx1"/>
        </w14:solidFill>
      </w14:textFill>
    </w:rPr>
  </w:style>
  <w:style w:type="character" w:customStyle="1" w:styleId="43">
    <w:name w:val="页脚 字符"/>
    <w:link w:val="17"/>
    <w:autoRedefine/>
    <w:qFormat/>
    <w:uiPriority w:val="0"/>
    <w:rPr>
      <w:kern w:val="2"/>
      <w:sz w:val="18"/>
      <w:szCs w:val="18"/>
    </w:rPr>
  </w:style>
  <w:style w:type="character" w:customStyle="1" w:styleId="44">
    <w:name w:val="页眉 字符"/>
    <w:link w:val="18"/>
    <w:autoRedefine/>
    <w:qFormat/>
    <w:uiPriority w:val="0"/>
    <w:rPr>
      <w:sz w:val="18"/>
      <w:szCs w:val="18"/>
    </w:rPr>
  </w:style>
  <w:style w:type="character" w:customStyle="1" w:styleId="45">
    <w:name w:val="正文文本缩进 3 字符"/>
    <w:basedOn w:val="29"/>
    <w:link w:val="23"/>
    <w:autoRedefine/>
    <w:qFormat/>
    <w:uiPriority w:val="0"/>
    <w:rPr>
      <w:rFonts w:ascii="宋体" w:hAnsi="宋体" w:eastAsia="楷体_GB2312" w:cs="宋体"/>
      <w:kern w:val="2"/>
      <w:sz w:val="32"/>
    </w:rPr>
  </w:style>
  <w:style w:type="character" w:customStyle="1" w:styleId="46">
    <w:name w:val="标题 2 字符"/>
    <w:link w:val="4"/>
    <w:autoRedefine/>
    <w:qFormat/>
    <w:uiPriority w:val="0"/>
    <w:rPr>
      <w:rFonts w:ascii="黑体" w:hAnsi="黑体" w:eastAsia="黑体"/>
      <w:bCs/>
      <w:kern w:val="2"/>
      <w:sz w:val="28"/>
      <w:szCs w:val="32"/>
    </w:rPr>
  </w:style>
  <w:style w:type="character" w:customStyle="1" w:styleId="47">
    <w:name w:val="标题 1 字符"/>
    <w:link w:val="3"/>
    <w:autoRedefine/>
    <w:qFormat/>
    <w:uiPriority w:val="0"/>
    <w:rPr>
      <w:rFonts w:ascii="宋体" w:hAnsi="宋体" w:cs="宋体"/>
      <w:b/>
      <w:color w:val="FF0000"/>
      <w:kern w:val="44"/>
      <w:sz w:val="28"/>
      <w:szCs w:val="28"/>
    </w:rPr>
  </w:style>
  <w:style w:type="character" w:customStyle="1" w:styleId="48">
    <w:name w:val="批注主题 字符"/>
    <w:basedOn w:val="41"/>
    <w:link w:val="26"/>
    <w:autoRedefine/>
    <w:qFormat/>
    <w:uiPriority w:val="0"/>
    <w:rPr>
      <w:b/>
      <w:bCs/>
      <w:kern w:val="2"/>
      <w:sz w:val="24"/>
      <w:szCs w:val="24"/>
    </w:rPr>
  </w:style>
  <w:style w:type="character" w:customStyle="1" w:styleId="49">
    <w:name w:val="正文文本缩进 2 字符"/>
    <w:basedOn w:val="29"/>
    <w:link w:val="16"/>
    <w:autoRedefine/>
    <w:qFormat/>
    <w:uiPriority w:val="0"/>
    <w:rPr>
      <w:kern w:val="2"/>
      <w:sz w:val="24"/>
      <w:szCs w:val="24"/>
    </w:rPr>
  </w:style>
  <w:style w:type="table" w:customStyle="1" w:styleId="50">
    <w:name w:val="报告书表格样式1"/>
    <w:basedOn w:val="27"/>
    <w:autoRedefine/>
    <w:qFormat/>
    <w:uiPriority w:val="0"/>
    <w:pPr>
      <w:spacing w:line="300" w:lineRule="exact"/>
      <w:contextualSpacing/>
      <w:jc w:val="center"/>
    </w:pPr>
    <w:rPr>
      <w:rFonts w:ascii="宋体" w:hAnsi="宋体" w:cs="宋体"/>
      <w:szCs w:val="21"/>
    </w:rPr>
    <w:tblPr>
      <w:jc w:val="center"/>
      <w:tblBorders>
        <w:top w:val="single" w:color="auto" w:sz="12" w:space="0"/>
        <w:bottom w:val="single" w:color="auto" w:sz="12" w:space="0"/>
        <w:insideH w:val="single" w:color="auto" w:sz="4" w:space="0"/>
        <w:insideV w:val="single" w:color="auto" w:sz="4" w:space="0"/>
      </w:tblBorders>
      <w:tblCellMar>
        <w:left w:w="28" w:type="dxa"/>
        <w:right w:w="28" w:type="dxa"/>
      </w:tblCellMar>
    </w:tblPr>
    <w:trPr>
      <w:jc w:val="center"/>
    </w:trPr>
    <w:tcPr>
      <w:vAlign w:val="center"/>
    </w:tcPr>
  </w:style>
  <w:style w:type="character" w:customStyle="1" w:styleId="51">
    <w:name w:val="普通(网站) 字符"/>
    <w:link w:val="25"/>
    <w:autoRedefine/>
    <w:qFormat/>
    <w:locked/>
    <w:uiPriority w:val="99"/>
    <w:rPr>
      <w:rFonts w:ascii="宋体" w:hAnsi="宋体"/>
      <w:sz w:val="24"/>
      <w:szCs w:val="24"/>
    </w:rPr>
  </w:style>
  <w:style w:type="table" w:customStyle="1" w:styleId="52">
    <w:name w:val="样式1"/>
    <w:basedOn w:val="27"/>
    <w:autoRedefine/>
    <w:qFormat/>
    <w:uiPriority w:val="99"/>
    <w:tblPr>
      <w:tblBorders>
        <w:top w:val="single" w:color="auto" w:sz="12" w:space="0"/>
        <w:bottom w:val="single" w:color="auto" w:sz="12" w:space="0"/>
        <w:insideH w:val="single" w:color="auto" w:sz="6" w:space="0"/>
        <w:insideV w:val="single" w:color="auto" w:sz="6" w:space="0"/>
      </w:tblBorders>
    </w:tblPr>
  </w:style>
  <w:style w:type="table" w:customStyle="1" w:styleId="53">
    <w:name w:val="报告书表格样式12"/>
    <w:basedOn w:val="27"/>
    <w:autoRedefine/>
    <w:qFormat/>
    <w:uiPriority w:val="0"/>
    <w:pPr>
      <w:jc w:val="center"/>
    </w:pPr>
    <w:tblPr>
      <w:tblBorders>
        <w:top w:val="single" w:color="auto" w:sz="12" w:space="0"/>
        <w:bottom w:val="single" w:color="auto" w:sz="12" w:space="0"/>
        <w:insideH w:val="single" w:color="auto" w:sz="6" w:space="0"/>
        <w:insideV w:val="single" w:color="auto" w:sz="6" w:space="0"/>
      </w:tblBorders>
      <w:tblCellMar>
        <w:left w:w="28" w:type="dxa"/>
        <w:right w:w="28" w:type="dxa"/>
      </w:tblCellMar>
    </w:tblPr>
    <w:tcPr>
      <w:vAlign w:val="center"/>
    </w:tcPr>
  </w:style>
  <w:style w:type="paragraph" w:customStyle="1" w:styleId="54">
    <w:name w:val="标题 02"/>
    <w:basedOn w:val="1"/>
    <w:link w:val="61"/>
    <w:autoRedefine/>
    <w:qFormat/>
    <w:uiPriority w:val="0"/>
    <w:pPr>
      <w:numPr>
        <w:ilvl w:val="0"/>
        <w:numId w:val="3"/>
      </w:numPr>
      <w:snapToGrid w:val="0"/>
      <w:spacing w:before="200" w:after="100" w:line="500" w:lineRule="exact"/>
      <w:ind w:left="0" w:firstLine="471" w:firstLineChars="0"/>
    </w:pPr>
    <w:rPr>
      <w:rFonts w:hint="eastAsia" w:cs="宋体"/>
      <w:b/>
      <w:color w:val="000000" w:themeColor="text1"/>
      <w14:textFill>
        <w14:solidFill>
          <w14:schemeClr w14:val="tx1"/>
        </w14:solidFill>
      </w14:textFill>
    </w:rPr>
  </w:style>
  <w:style w:type="paragraph" w:customStyle="1" w:styleId="55">
    <w:name w:val="标题 03"/>
    <w:basedOn w:val="1"/>
    <w:autoRedefine/>
    <w:qFormat/>
    <w:uiPriority w:val="0"/>
    <w:pPr>
      <w:numPr>
        <w:ilvl w:val="1"/>
        <w:numId w:val="3"/>
      </w:numPr>
      <w:autoSpaceDE w:val="0"/>
      <w:autoSpaceDN w:val="0"/>
      <w:adjustRightInd w:val="0"/>
      <w:snapToGrid w:val="0"/>
      <w:spacing w:line="500" w:lineRule="exact"/>
      <w:ind w:left="0" w:firstLine="1440" w:firstLineChars="200"/>
    </w:pPr>
    <w:rPr>
      <w:rFonts w:hint="eastAsia" w:ascii="Times New Roman" w:hAnsi="Times New Roman" w:eastAsia="宋体"/>
      <w:color w:val="000000" w:themeColor="text1"/>
      <w:lang w:eastAsia="en-US"/>
      <w14:textFill>
        <w14:solidFill>
          <w14:schemeClr w14:val="tx1"/>
        </w14:solidFill>
      </w14:textFill>
    </w:rPr>
  </w:style>
  <w:style w:type="paragraph" w:customStyle="1" w:styleId="56">
    <w:name w:val="表头"/>
    <w:basedOn w:val="1"/>
    <w:autoRedefine/>
    <w:qFormat/>
    <w:uiPriority w:val="0"/>
    <w:pPr>
      <w:snapToGrid w:val="0"/>
      <w:spacing w:line="500" w:lineRule="exact"/>
      <w:jc w:val="center"/>
    </w:pPr>
    <w:rPr>
      <w:rFonts w:hint="eastAsia" w:ascii="黑体" w:hAnsi="黑体" w:eastAsia="黑体" w:cs="黑体"/>
      <w:color w:val="000000" w:themeColor="text1"/>
      <w:sz w:val="21"/>
      <w:szCs w:val="21"/>
      <w14:textFill>
        <w14:solidFill>
          <w14:schemeClr w14:val="tx1"/>
        </w14:solidFill>
      </w14:textFill>
    </w:rPr>
  </w:style>
  <w:style w:type="paragraph" w:customStyle="1" w:styleId="57">
    <w:name w:val="正文居中"/>
    <w:basedOn w:val="1"/>
    <w:autoRedefine/>
    <w:qFormat/>
    <w:uiPriority w:val="0"/>
    <w:pPr>
      <w:snapToGrid w:val="0"/>
      <w:jc w:val="center"/>
    </w:pPr>
    <w:rPr>
      <w:rFonts w:hint="eastAsia" w:ascii="宋体" w:hAnsi="宋体" w:cs="宋体"/>
    </w:rPr>
  </w:style>
  <w:style w:type="paragraph" w:customStyle="1" w:styleId="58">
    <w:name w:val="C 附件"/>
    <w:basedOn w:val="1"/>
    <w:autoRedefine/>
    <w:qFormat/>
    <w:uiPriority w:val="0"/>
    <w:pPr>
      <w:numPr>
        <w:ilvl w:val="0"/>
        <w:numId w:val="4"/>
      </w:numPr>
      <w:spacing w:line="360" w:lineRule="auto"/>
      <w:outlineLvl w:val="0"/>
    </w:pPr>
    <w:rPr>
      <w:b/>
      <w:sz w:val="24"/>
    </w:rPr>
  </w:style>
  <w:style w:type="paragraph" w:customStyle="1" w:styleId="59">
    <w:name w:val="Char Char Char Char Char Char Char Char Char1 Char"/>
    <w:basedOn w:val="1"/>
    <w:autoRedefine/>
    <w:qFormat/>
    <w:uiPriority w:val="0"/>
    <w:pPr>
      <w:spacing w:line="360" w:lineRule="auto"/>
      <w:ind w:firstLine="200" w:firstLineChars="200"/>
    </w:pPr>
    <w:rPr>
      <w:rFonts w:hAnsi="宋体" w:cs="宋体"/>
      <w:spacing w:val="0"/>
      <w:sz w:val="24"/>
      <w:szCs w:val="24"/>
    </w:rPr>
  </w:style>
  <w:style w:type="paragraph" w:customStyle="1" w:styleId="60">
    <w:name w:val="附图 自动编号"/>
    <w:basedOn w:val="1"/>
    <w:autoRedefine/>
    <w:qFormat/>
    <w:uiPriority w:val="0"/>
    <w:pPr>
      <w:numPr>
        <w:ilvl w:val="0"/>
        <w:numId w:val="5"/>
      </w:numPr>
      <w:spacing w:line="360" w:lineRule="auto"/>
      <w:ind w:left="0" w:firstLine="0"/>
      <w:jc w:val="center"/>
      <w:outlineLvl w:val="0"/>
    </w:pPr>
    <w:rPr>
      <w:rFonts w:ascii="Times New Roman" w:hAnsi="Times New Roman" w:eastAsia="黑体"/>
      <w:color w:val="000000" w:themeColor="text1"/>
      <w14:textFill>
        <w14:solidFill>
          <w14:schemeClr w14:val="tx1"/>
        </w14:solidFill>
      </w14:textFill>
    </w:rPr>
  </w:style>
  <w:style w:type="character" w:customStyle="1" w:styleId="61">
    <w:name w:val="标题 02 Char"/>
    <w:link w:val="54"/>
    <w:autoRedefine/>
    <w:qFormat/>
    <w:uiPriority w:val="0"/>
    <w:rPr>
      <w:rFonts w:hint="eastAsia" w:cs="宋体"/>
      <w:b/>
      <w:color w:val="000000" w:themeColor="text1"/>
      <w14:textFill>
        <w14:solidFill>
          <w14:schemeClr w14:val="tx1"/>
        </w14:solidFill>
      </w14:textFill>
    </w:rPr>
  </w:style>
  <w:style w:type="paragraph" w:customStyle="1" w:styleId="62">
    <w:name w:val="MEL正文*"/>
    <w:autoRedefine/>
    <w:qFormat/>
    <w:uiPriority w:val="0"/>
    <w:pPr>
      <w:widowControl w:val="0"/>
      <w:spacing w:line="500" w:lineRule="exact"/>
      <w:ind w:firstLine="200" w:firstLineChars="200"/>
      <w:jc w:val="both"/>
    </w:pPr>
    <w:rPr>
      <w:rFonts w:ascii="宋体" w:hAnsi="宋体" w:eastAsia="宋体" w:cs="Times New Roman"/>
      <w:kern w:val="0"/>
      <w:sz w:val="24"/>
      <w:szCs w:val="24"/>
      <w:lang w:val="en-US" w:eastAsia="zh-CN" w:bidi="ar-SA"/>
    </w:rPr>
  </w:style>
  <w:style w:type="paragraph" w:customStyle="1" w:styleId="63">
    <w:name w:val="MEL表字-书"/>
    <w:autoRedefine/>
    <w:qFormat/>
    <w:uiPriority w:val="0"/>
    <w:pPr>
      <w:widowControl w:val="0"/>
      <w:spacing w:line="300" w:lineRule="exact"/>
      <w:jc w:val="center"/>
    </w:pPr>
    <w:rPr>
      <w:rFonts w:ascii="宋体" w:hAnsi="宋体" w:eastAsia="宋体" w:cs="Times New Roman"/>
      <w:kern w:val="0"/>
      <w:sz w:val="21"/>
      <w:szCs w:val="21"/>
      <w:lang w:val="en-US" w:eastAsia="zh-CN" w:bidi="ar-SA"/>
    </w:rPr>
  </w:style>
  <w:style w:type="paragraph" w:customStyle="1" w:styleId="64">
    <w:name w:val="YJ正文*"/>
    <w:autoRedefine/>
    <w:qFormat/>
    <w:uiPriority w:val="0"/>
    <w:pPr>
      <w:widowControl w:val="0"/>
      <w:adjustRightInd w:val="0"/>
      <w:snapToGrid w:val="0"/>
      <w:spacing w:line="500" w:lineRule="atLeast"/>
      <w:ind w:firstLine="480" w:firstLineChars="200"/>
      <w:jc w:val="both"/>
    </w:pPr>
    <w:rPr>
      <w:rFonts w:ascii="宋体" w:hAnsi="宋体" w:eastAsia="宋体" w:cs="宋体"/>
      <w:kern w:val="2"/>
      <w:sz w:val="24"/>
      <w:szCs w:val="24"/>
      <w:shd w:val="clear" w:color="auto" w:fill="FFFFFF"/>
      <w:lang w:val="en-US" w:eastAsia="zh-CN" w:bidi="ar-SA"/>
    </w:rPr>
  </w:style>
  <w:style w:type="paragraph" w:customStyle="1" w:styleId="65">
    <w:name w:val="C 表内容"/>
    <w:basedOn w:val="1"/>
    <w:autoRedefine/>
    <w:qFormat/>
    <w:uiPriority w:val="0"/>
    <w:pPr>
      <w:widowControl/>
      <w:adjustRightInd w:val="0"/>
      <w:snapToGrid w:val="0"/>
      <w:spacing w:line="240" w:lineRule="exact"/>
      <w:jc w:val="center"/>
      <w:textAlignment w:val="baseline"/>
    </w:pPr>
    <w:rPr>
      <w:rFonts w:ascii="宋体"/>
      <w:kern w:val="0"/>
      <w:szCs w:val="18"/>
    </w:rPr>
  </w:style>
  <w:style w:type="paragraph" w:customStyle="1" w:styleId="66">
    <w:name w:val="附件"/>
    <w:basedOn w:val="1"/>
    <w:autoRedefine/>
    <w:qFormat/>
    <w:uiPriority w:val="0"/>
    <w:pPr>
      <w:numPr>
        <w:ilvl w:val="0"/>
        <w:numId w:val="6"/>
      </w:numPr>
      <w:ind w:firstLine="0"/>
      <w:outlineLvl w:val="0"/>
    </w:pPr>
    <w:rPr>
      <w:rFonts w:hint="eastAsia" w:ascii="黑体" w:hAnsi="黑体" w:eastAsia="黑体" w:cs="黑体"/>
    </w:rPr>
  </w:style>
  <w:style w:type="paragraph" w:customStyle="1" w:styleId="67">
    <w:name w:val="表中文字"/>
    <w:basedOn w:val="1"/>
    <w:autoRedefine/>
    <w:qFormat/>
    <w:uiPriority w:val="0"/>
    <w:pPr>
      <w:jc w:val="center"/>
    </w:pPr>
    <w:rPr>
      <w:kern w:val="0"/>
      <w:sz w:val="20"/>
    </w:rPr>
  </w:style>
  <w:style w:type="paragraph" w:customStyle="1" w:styleId="68">
    <w:name w:val="表字-书"/>
    <w:basedOn w:val="1"/>
    <w:autoRedefine/>
    <w:qFormat/>
    <w:uiPriority w:val="0"/>
    <w:pPr>
      <w:widowControl/>
      <w:adjustRightInd w:val="0"/>
      <w:snapToGrid w:val="0"/>
      <w:spacing w:line="300" w:lineRule="exact"/>
      <w:jc w:val="center"/>
    </w:pPr>
    <w:rPr>
      <w:rFonts w:ascii="宋体" w:hAnsi="宋体" w:cs="Arial"/>
      <w:szCs w:val="21"/>
    </w:rPr>
  </w:style>
  <w:style w:type="paragraph" w:customStyle="1" w:styleId="69">
    <w:name w:val="C 正文"/>
    <w:autoRedefine/>
    <w:qFormat/>
    <w:uiPriority w:val="0"/>
    <w:pPr>
      <w:widowControl w:val="0"/>
      <w:numPr>
        <w:ilvl w:val="0"/>
        <w:numId w:val="0"/>
      </w:numPr>
      <w:autoSpaceDE w:val="0"/>
      <w:autoSpaceDN w:val="0"/>
      <w:adjustRightInd w:val="0"/>
      <w:snapToGrid w:val="0"/>
      <w:spacing w:line="500" w:lineRule="exact"/>
      <w:ind w:firstLine="200" w:firstLineChars="200"/>
      <w:jc w:val="both"/>
    </w:pPr>
    <w:rPr>
      <w:rFonts w:ascii="Times New Roman" w:hAnsi="Times New Roman" w:eastAsia="宋体" w:cs="Times New Roman"/>
      <w:color w:val="auto"/>
      <w:sz w:val="24"/>
      <w:szCs w:val="24"/>
      <w:lang w:val="en-US" w:eastAsia="zh-CN" w:bidi="ar-SA"/>
    </w:rPr>
  </w:style>
  <w:style w:type="paragraph" w:customStyle="1" w:styleId="70">
    <w:name w:val="Default"/>
    <w:next w:val="1"/>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1">
    <w:name w:val="表格"/>
    <w:basedOn w:val="1"/>
    <w:autoRedefine/>
    <w:qFormat/>
    <w:uiPriority w:val="0"/>
    <w:pPr>
      <w:spacing w:line="360" w:lineRule="auto"/>
      <w:ind w:left="0" w:right="0" w:firstLine="0" w:firstLineChars="0"/>
      <w:jc w:val="center"/>
      <w:outlineLvl w:val="1"/>
    </w:pPr>
    <w:rPr>
      <w:rFonts w:hint="eastAsia" w:ascii="Times New Roman" w:hAnsi="Times New Roman" w:eastAsia="宋体"/>
      <w:sz w:val="21"/>
    </w:rPr>
  </w:style>
  <w:style w:type="table" w:customStyle="1" w:styleId="72">
    <w:name w:val="Table Normal"/>
    <w:autoRedefine/>
    <w:unhideWhenUsed/>
    <w:qFormat/>
    <w:uiPriority w:val="0"/>
    <w:tblPr>
      <w:tblCellMar>
        <w:top w:w="0" w:type="dxa"/>
        <w:left w:w="0" w:type="dxa"/>
        <w:bottom w:w="0" w:type="dxa"/>
        <w:right w:w="0" w:type="dxa"/>
      </w:tblCellMar>
    </w:tblPr>
  </w:style>
  <w:style w:type="character" w:customStyle="1" w:styleId="73">
    <w:name w:val="List Paragraph Char"/>
    <w:link w:val="36"/>
    <w:autoRedefine/>
    <w:qFormat/>
    <w:uiPriority w:val="99"/>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microsoft.com/office/2006/relationships/keyMapCustomizations" Target="customizations.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1812C5B-0C3E-4E59-9DD7-A10267793A29}">
  <ds:schemaRefs/>
</ds:datastoreItem>
</file>

<file path=docProps/app.xml><?xml version="1.0" encoding="utf-8"?>
<Properties xmlns="http://schemas.openxmlformats.org/officeDocument/2006/extended-properties" xmlns:vt="http://schemas.openxmlformats.org/officeDocument/2006/docPropsVTypes">
  <Template>Normal</Template>
  <Pages>108</Pages>
  <Words>56061</Words>
  <Characters>59942</Characters>
  <Lines>307</Lines>
  <Paragraphs>86</Paragraphs>
  <TotalTime>1</TotalTime>
  <ScaleCrop>false</ScaleCrop>
  <LinksUpToDate>false</LinksUpToDate>
  <CharactersWithSpaces>60436</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2024-02-29T09:57:00Z</dcterms:created>
  <dc:creator>WPS_pL</dc:creator>
  <cp:lastModifiedBy>Administrator</cp:lastModifiedBy>
  <cp:lastPrinted>2024-09-27T05:59:00Z</cp:lastPrinted>
  <dcterms:modified xsi:type="dcterms:W3CDTF">2025-08-06T13:58:42Z</dcterms:modified>
  <cp:revision>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7FEA8AB3661C4295B65B289572C310F5_13</vt:lpwstr>
  </property>
  <property fmtid="{D5CDD505-2E9C-101B-9397-08002B2CF9AE}" pid="4" name="KSOTemplateDocerSaveRecord">
    <vt:lpwstr>eyJoZGlkIjoiMWQ0MDNjNDhlM2UwYTgyODBhODg2ZDM5NzA2MGFlNTEiLCJ1c2VySWQiOiIyODg3OTg0MjgifQ==</vt:lpwstr>
  </property>
</Properties>
</file>